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2E" w:rsidRPr="00407C2F" w:rsidRDefault="00D44B04" w:rsidP="00ED7F98">
      <w:pPr>
        <w:spacing w:line="276" w:lineRule="auto"/>
        <w:jc w:val="left"/>
        <w:rPr>
          <w:rFonts w:eastAsiaTheme="minorEastAsia"/>
          <w:b/>
          <w:lang w:val="sr-Latn-BA" w:eastAsia="sr-Latn-RS"/>
        </w:rPr>
      </w:pPr>
      <w:r w:rsidRPr="00407C2F">
        <w:rPr>
          <w:rFonts w:eastAsiaTheme="minorEastAsia"/>
          <w:b/>
          <w:lang w:val="bs-Cyrl-BA" w:eastAsia="sr-Latn-RS"/>
        </w:rPr>
        <w:t xml:space="preserve">Образац </w:t>
      </w:r>
      <w:r w:rsidRPr="00407C2F">
        <w:rPr>
          <w:rFonts w:eastAsiaTheme="minorEastAsia"/>
          <w:b/>
          <w:lang w:val="sr-Latn-BA" w:eastAsia="sr-Latn-RS"/>
        </w:rPr>
        <w:t>3</w:t>
      </w:r>
    </w:p>
    <w:p w:rsidR="0016532E" w:rsidRPr="00407C2F" w:rsidRDefault="0016532E" w:rsidP="00ED7F98">
      <w:pPr>
        <w:spacing w:line="276" w:lineRule="auto"/>
        <w:jc w:val="left"/>
        <w:rPr>
          <w:rFonts w:eastAsiaTheme="minorEastAsia"/>
          <w:lang w:val="bs-Cyrl-BA" w:eastAsia="sr-Latn-RS"/>
        </w:rPr>
      </w:pPr>
    </w:p>
    <w:p w:rsidR="00ED7F98" w:rsidRPr="00407C2F" w:rsidRDefault="00ED7F98" w:rsidP="00ED7F98">
      <w:pPr>
        <w:spacing w:line="276" w:lineRule="auto"/>
        <w:jc w:val="left"/>
        <w:rPr>
          <w:rFonts w:eastAsiaTheme="minorEastAsia"/>
          <w:lang w:val="bs-Cyrl-BA" w:eastAsia="sr-Latn-RS"/>
        </w:rPr>
      </w:pPr>
      <w:r w:rsidRPr="00407C2F">
        <w:rPr>
          <w:rFonts w:eastAsiaTheme="minorEastAsia"/>
          <w:lang w:val="bs-Cyrl-BA" w:eastAsia="sr-Latn-RS"/>
        </w:rPr>
        <w:t xml:space="preserve">Број протокола: </w:t>
      </w:r>
      <w:r w:rsidR="00D22B2F" w:rsidRPr="00407C2F">
        <w:rPr>
          <w:rFonts w:eastAsiaTheme="minorEastAsia"/>
          <w:lang w:val="bs-Cyrl-BA" w:eastAsia="sr-Latn-RS"/>
        </w:rPr>
        <w:t xml:space="preserve">                                                                                                                             </w:t>
      </w:r>
    </w:p>
    <w:p w:rsidR="00ED7F98" w:rsidRPr="00407C2F" w:rsidRDefault="00ED7F98" w:rsidP="00ED7F98">
      <w:pPr>
        <w:spacing w:line="276" w:lineRule="auto"/>
        <w:jc w:val="left"/>
        <w:rPr>
          <w:rFonts w:eastAsiaTheme="minorEastAsia"/>
          <w:lang w:val="bs-Cyrl-BA" w:eastAsia="sr-Latn-RS"/>
        </w:rPr>
      </w:pPr>
      <w:r w:rsidRPr="00407C2F">
        <w:rPr>
          <w:rFonts w:eastAsiaTheme="minorEastAsia"/>
          <w:lang w:val="bs-Cyrl-BA" w:eastAsia="sr-Latn-RS"/>
        </w:rPr>
        <w:t>Датум:</w:t>
      </w:r>
      <w:r w:rsidR="00D22B2F" w:rsidRPr="00407C2F">
        <w:rPr>
          <w:rFonts w:eastAsiaTheme="minorEastAsia"/>
          <w:lang w:val="bs-Cyrl-BA" w:eastAsia="sr-Latn-RS"/>
        </w:rPr>
        <w:t xml:space="preserve">                                                      </w:t>
      </w:r>
    </w:p>
    <w:p w:rsidR="00ED7F98" w:rsidRPr="00407C2F" w:rsidRDefault="00ED7F98" w:rsidP="00124FA4">
      <w:pPr>
        <w:rPr>
          <w:b/>
          <w:noProof/>
          <w:sz w:val="32"/>
          <w:lang w:val="sr-Cyrl-BA"/>
        </w:rPr>
      </w:pPr>
    </w:p>
    <w:p w:rsidR="0016532E" w:rsidRPr="00407C2F" w:rsidRDefault="0016532E" w:rsidP="00124FA4">
      <w:pPr>
        <w:rPr>
          <w:b/>
          <w:noProof/>
          <w:sz w:val="32"/>
          <w:lang w:val="sr-Cyrl-BA"/>
        </w:rPr>
      </w:pPr>
    </w:p>
    <w:p w:rsidR="0016532E" w:rsidRPr="00407C2F" w:rsidRDefault="0016532E" w:rsidP="00124FA4">
      <w:pPr>
        <w:rPr>
          <w:b/>
          <w:noProof/>
          <w:sz w:val="32"/>
          <w:lang w:val="sr-Cyrl-BA"/>
        </w:rPr>
      </w:pPr>
    </w:p>
    <w:p w:rsidR="003C3922" w:rsidRPr="00407C2F" w:rsidRDefault="00DE5171" w:rsidP="00133EF0">
      <w:pPr>
        <w:jc w:val="center"/>
        <w:rPr>
          <w:b/>
          <w:noProof/>
          <w:sz w:val="28"/>
          <w:szCs w:val="28"/>
          <w:lang w:val="sr-Cyrl-BA"/>
        </w:rPr>
      </w:pPr>
      <w:r w:rsidRPr="00407C2F">
        <w:rPr>
          <w:b/>
          <w:noProof/>
          <w:sz w:val="28"/>
          <w:szCs w:val="28"/>
          <w:lang w:val="sr-Cyrl-BA"/>
        </w:rPr>
        <w:t>Извјештај</w:t>
      </w:r>
      <w:r w:rsidRPr="00407C2F">
        <w:rPr>
          <w:b/>
          <w:noProof/>
          <w:sz w:val="28"/>
          <w:szCs w:val="28"/>
          <w:lang w:val="bs-Latn-BA"/>
        </w:rPr>
        <w:t xml:space="preserve"> </w:t>
      </w:r>
      <w:r w:rsidR="00587616" w:rsidRPr="00407C2F">
        <w:rPr>
          <w:b/>
          <w:noProof/>
          <w:sz w:val="28"/>
          <w:szCs w:val="28"/>
          <w:lang w:val="sr-Cyrl-RS"/>
        </w:rPr>
        <w:t>финансијске организације</w:t>
      </w:r>
      <w:r w:rsidRPr="00407C2F">
        <w:rPr>
          <w:b/>
          <w:noProof/>
          <w:sz w:val="28"/>
          <w:szCs w:val="28"/>
          <w:lang w:val="sr-Cyrl-RS"/>
        </w:rPr>
        <w:t xml:space="preserve"> </w:t>
      </w:r>
      <w:r w:rsidR="00A13B49" w:rsidRPr="00407C2F">
        <w:rPr>
          <w:b/>
          <w:noProof/>
          <w:sz w:val="28"/>
          <w:szCs w:val="28"/>
          <w:lang w:val="sr-Cyrl-RS"/>
        </w:rPr>
        <w:t xml:space="preserve"> о испуњености</w:t>
      </w:r>
      <w:r w:rsidR="00124FA4" w:rsidRPr="00407C2F">
        <w:rPr>
          <w:b/>
          <w:noProof/>
          <w:sz w:val="28"/>
          <w:szCs w:val="28"/>
          <w:lang w:val="sr-Cyrl-BA"/>
        </w:rPr>
        <w:t xml:space="preserve"> </w:t>
      </w:r>
      <w:r w:rsidRPr="00407C2F">
        <w:rPr>
          <w:b/>
          <w:noProof/>
          <w:sz w:val="28"/>
          <w:szCs w:val="28"/>
          <w:lang w:val="sr-Cyrl-BA"/>
        </w:rPr>
        <w:t>критери</w:t>
      </w:r>
      <w:r w:rsidR="00A13B49" w:rsidRPr="00407C2F">
        <w:rPr>
          <w:b/>
          <w:noProof/>
          <w:sz w:val="28"/>
          <w:szCs w:val="28"/>
          <w:lang w:val="sr-Cyrl-BA"/>
        </w:rPr>
        <w:t>ја</w:t>
      </w:r>
      <w:r w:rsidR="000A7A6A" w:rsidRPr="00407C2F">
        <w:rPr>
          <w:b/>
          <w:noProof/>
          <w:sz w:val="28"/>
          <w:szCs w:val="28"/>
          <w:lang w:val="sr-Cyrl-BA"/>
        </w:rPr>
        <w:t xml:space="preserve"> </w:t>
      </w:r>
      <w:r w:rsidRPr="00407C2F">
        <w:rPr>
          <w:b/>
          <w:noProof/>
          <w:sz w:val="28"/>
          <w:szCs w:val="28"/>
          <w:lang w:val="sr-Cyrl-BA"/>
        </w:rPr>
        <w:t xml:space="preserve">за </w:t>
      </w:r>
      <w:r w:rsidR="000A7A6A" w:rsidRPr="00407C2F">
        <w:rPr>
          <w:b/>
          <w:noProof/>
          <w:sz w:val="28"/>
          <w:szCs w:val="28"/>
          <w:lang w:val="sr-Cyrl-BA"/>
        </w:rPr>
        <w:t>укључења кредита у портфолио</w:t>
      </w:r>
    </w:p>
    <w:p w:rsidR="0016532E" w:rsidRPr="00407C2F" w:rsidRDefault="0016532E" w:rsidP="00746278">
      <w:pPr>
        <w:rPr>
          <w:b/>
          <w:noProof/>
          <w:sz w:val="32"/>
          <w:lang w:val="sr-Cyrl-BA"/>
        </w:rPr>
      </w:pPr>
    </w:p>
    <w:p w:rsidR="003C3922" w:rsidRPr="00407C2F" w:rsidRDefault="003C3922" w:rsidP="003C3922">
      <w:pPr>
        <w:jc w:val="left"/>
        <w:rPr>
          <w:noProof/>
          <w:lang w:val="sr-Cyrl-BA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1275"/>
        <w:gridCol w:w="993"/>
        <w:gridCol w:w="992"/>
        <w:gridCol w:w="1276"/>
        <w:gridCol w:w="1559"/>
        <w:gridCol w:w="1417"/>
      </w:tblGrid>
      <w:tr w:rsidR="00407C2F" w:rsidRPr="00407C2F" w:rsidTr="00B52BDA">
        <w:trPr>
          <w:trHeight w:val="521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3922" w:rsidRPr="00407C2F" w:rsidRDefault="003C3922">
            <w:pPr>
              <w:rPr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Корисник кредита</w:t>
            </w:r>
          </w:p>
        </w:tc>
        <w:tc>
          <w:tcPr>
            <w:tcW w:w="751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C3922" w:rsidRPr="00407C2F" w:rsidRDefault="003C3922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093DDE">
        <w:trPr>
          <w:trHeight w:val="821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67D" w:rsidRPr="00407C2F" w:rsidRDefault="00D8367D" w:rsidP="00D8367D">
            <w:pPr>
              <w:rPr>
                <w:noProof/>
                <w:sz w:val="20"/>
                <w:szCs w:val="20"/>
                <w:lang w:val="sr-Cyrl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 xml:space="preserve">Корисници кредита обезбијеђеног гаранцијом из Гарантног програма </w:t>
            </w:r>
            <w:r w:rsidRPr="00407C2F">
              <w:rPr>
                <w:b/>
                <w:noProof/>
                <w:sz w:val="20"/>
                <w:szCs w:val="20"/>
                <w:u w:val="single"/>
                <w:lang w:val="sr-Cyrl-RS"/>
              </w:rPr>
              <w:t>не могу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 бити: </w:t>
            </w:r>
          </w:p>
          <w:p w:rsidR="00D8367D" w:rsidRPr="00407C2F" w:rsidRDefault="00D8367D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привредни субјекти који су у ста</w:t>
            </w:r>
            <w:r w:rsidR="006C6BDA" w:rsidRPr="00407C2F">
              <w:rPr>
                <w:noProof/>
                <w:color w:val="auto"/>
                <w:sz w:val="20"/>
                <w:szCs w:val="20"/>
                <w:lang w:val="sr-Cyrl-RS"/>
              </w:rPr>
              <w:t>тусу неизмирења обавеза према п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р</w:t>
            </w:r>
            <w:r w:rsidR="006C6BDA" w:rsidRPr="00407C2F">
              <w:rPr>
                <w:noProof/>
                <w:color w:val="auto"/>
                <w:sz w:val="20"/>
                <w:szCs w:val="20"/>
                <w:lang w:val="sr-Cyrl-RS"/>
              </w:rPr>
              <w:t>описима Агенције за банкар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с</w:t>
            </w:r>
            <w:r w:rsidR="006C6BDA" w:rsidRPr="00407C2F">
              <w:rPr>
                <w:noProof/>
                <w:color w:val="auto"/>
                <w:sz w:val="20"/>
                <w:szCs w:val="20"/>
                <w:lang w:val="sr-Cyrl-RS"/>
              </w:rPr>
              <w:t>т</w:t>
            </w:r>
            <w:r w:rsidR="00085B38" w:rsidRPr="00407C2F">
              <w:rPr>
                <w:noProof/>
                <w:color w:val="auto"/>
                <w:sz w:val="20"/>
                <w:szCs w:val="20"/>
                <w:lang w:val="sr-Cyrl-RS"/>
              </w:rPr>
              <w:t>во Републике Српске на дан подношења захтјева за кредит, односно закључења уговора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; </w:t>
            </w:r>
          </w:p>
          <w:p w:rsidR="00D8367D" w:rsidRPr="00407C2F" w:rsidRDefault="00D8367D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привредни субјекти који имају доспјеле</w:t>
            </w:r>
            <w:r w:rsidR="00C11FB3" w:rsidRPr="00407C2F">
              <w:rPr>
                <w:noProof/>
                <w:color w:val="auto"/>
                <w:sz w:val="20"/>
                <w:szCs w:val="20"/>
              </w:rPr>
              <w:t>,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 а неизмирене обавезе по основу пореза у Републици Српској, </w:t>
            </w:r>
            <w:r w:rsidR="00164311" w:rsidRPr="00407C2F">
              <w:rPr>
                <w:noProof/>
                <w:color w:val="auto"/>
                <w:sz w:val="20"/>
                <w:szCs w:val="20"/>
                <w:lang w:val="sr-Cyrl-RS"/>
              </w:rPr>
              <w:t>у складу са пореским прописима</w:t>
            </w:r>
            <w:r w:rsidR="00164311" w:rsidRPr="00407C2F">
              <w:rPr>
                <w:noProof/>
                <w:color w:val="auto"/>
                <w:sz w:val="20"/>
                <w:szCs w:val="20"/>
              </w:rPr>
              <w:t xml:space="preserve"> </w:t>
            </w:r>
            <w:r w:rsidR="00164311"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Републике Српске, искључујући привредне субјекте који те обавезе према Пореској управи Републике Српске измирују средствима кредита обезбијеђеног гаранцијом Гарантног програма; </w:t>
            </w:r>
          </w:p>
          <w:p w:rsidR="00D8367D" w:rsidRPr="00407C2F" w:rsidRDefault="00D8367D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привредни субјекти који Агенцији за посредничке, информатичке и финансијске обавезе нису доставили финансијске извјештаје </w:t>
            </w:r>
            <w:r w:rsidR="00085B38" w:rsidRPr="00407C2F">
              <w:rPr>
                <w:noProof/>
                <w:color w:val="auto"/>
                <w:sz w:val="20"/>
                <w:szCs w:val="20"/>
                <w:lang w:val="sr-Cyrl-RS"/>
              </w:rPr>
              <w:t>за годину која претходи години у којој се подноси захтјев за кредит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, а били су дужни да то ураде у складу са прописима; </w:t>
            </w:r>
          </w:p>
          <w:p w:rsidR="00D8367D" w:rsidRPr="00407C2F" w:rsidRDefault="00C11FB3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јавна предузећа, у складу са З</w:t>
            </w:r>
            <w:r w:rsidR="006C6BDA"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аконом о јавним предузећима; </w:t>
            </w:r>
          </w:p>
          <w:p w:rsidR="00D8367D" w:rsidRPr="00407C2F" w:rsidRDefault="00D8367D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финансијске организације банкарског с</w:t>
            </w:r>
            <w:r w:rsidR="00746278" w:rsidRPr="00407C2F">
              <w:rPr>
                <w:noProof/>
                <w:color w:val="auto"/>
                <w:sz w:val="20"/>
                <w:szCs w:val="20"/>
                <w:lang w:val="sr-Cyrl-RS"/>
              </w:rPr>
              <w:t>истема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 Републике Српске и други субјекти који обављају финансијске дјелатности и дјелатности осигурања у складу са прописима о класификацији дјелатности у Републици Српској; </w:t>
            </w:r>
          </w:p>
          <w:p w:rsidR="00D8367D" w:rsidRPr="00407C2F" w:rsidRDefault="00D8367D" w:rsidP="00D8367D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привредни субјекти који се баве приређивањем игара на срећу, производњом и прометом оружја, те примарно производњом, извозом</w:t>
            </w:r>
            <w:r w:rsidR="00746278"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 и продајом цигарета и јаких ал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ко</w:t>
            </w:r>
            <w:r w:rsidR="00746278" w:rsidRPr="00407C2F">
              <w:rPr>
                <w:noProof/>
                <w:color w:val="auto"/>
                <w:sz w:val="20"/>
                <w:szCs w:val="20"/>
                <w:lang w:val="sr-Cyrl-RS"/>
              </w:rPr>
              <w:t>хо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лних пића; </w:t>
            </w:r>
          </w:p>
          <w:p w:rsidR="00D8367D" w:rsidRPr="00580C65" w:rsidRDefault="00D8367D" w:rsidP="00580C65">
            <w:pPr>
              <w:pStyle w:val="ListParagraph"/>
              <w:numPr>
                <w:ilvl w:val="0"/>
                <w:numId w:val="5"/>
              </w:numPr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привредни субјекти над којима се спроводи поступак реструктуирања у складу са законом којим се </w:t>
            </w:r>
            <w:r w:rsidR="006C6BDA"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уређује 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стечај или </w:t>
            </w:r>
            <w:r w:rsidR="00085B38" w:rsidRPr="00407C2F">
              <w:rPr>
                <w:noProof/>
                <w:color w:val="auto"/>
                <w:sz w:val="20"/>
                <w:szCs w:val="20"/>
                <w:lang w:val="sr-Cyrl-RS"/>
              </w:rPr>
              <w:t>који су у поступку ликвидације у складу са законом којим с</w:t>
            </w:r>
            <w:r w:rsidR="00580C65">
              <w:rPr>
                <w:noProof/>
                <w:color w:val="auto"/>
                <w:sz w:val="20"/>
                <w:szCs w:val="20"/>
                <w:lang w:val="sr-Cyrl-RS"/>
              </w:rPr>
              <w:t>е уређује ликвидациони поступак.</w:t>
            </w:r>
          </w:p>
        </w:tc>
      </w:tr>
      <w:tr w:rsidR="00407C2F" w:rsidRPr="00407C2F" w:rsidTr="00B52BDA">
        <w:trPr>
          <w:trHeight w:val="536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A6A" w:rsidRPr="00407C2F" w:rsidRDefault="004173E2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Корисник гаранције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A6A" w:rsidRPr="00407C2F" w:rsidRDefault="000A7A6A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093DDE">
        <w:trPr>
          <w:trHeight w:val="694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5B9C" w:rsidRPr="00407C2F" w:rsidRDefault="007A5B9C" w:rsidP="007A5B9C">
            <w:pPr>
              <w:rPr>
                <w:noProof/>
                <w:sz w:val="20"/>
                <w:szCs w:val="20"/>
                <w:lang w:val="sr-Latn-RS"/>
              </w:rPr>
            </w:pPr>
            <w:r w:rsidRPr="00407C2F">
              <w:rPr>
                <w:noProof/>
                <w:sz w:val="20"/>
                <w:szCs w:val="20"/>
                <w:lang w:val="sr-Cyrl-BA"/>
              </w:rPr>
              <w:t xml:space="preserve">Корисници гаранције </w:t>
            </w:r>
            <w:r w:rsidRPr="00407C2F">
              <w:rPr>
                <w:b/>
                <w:noProof/>
                <w:sz w:val="20"/>
                <w:szCs w:val="20"/>
                <w:lang w:val="sr-Cyrl-BA"/>
              </w:rPr>
              <w:t>могу бити</w:t>
            </w:r>
            <w:r w:rsidRPr="00407C2F">
              <w:rPr>
                <w:noProof/>
                <w:sz w:val="20"/>
                <w:szCs w:val="20"/>
                <w:lang w:val="sr-Cyrl-BA"/>
              </w:rPr>
              <w:t xml:space="preserve"> банке и микрокредитне организације са сједиштем у Републици Српској, које имају дозволу за рад Агенције за банкарство Републике Српске, као и банке и микрокредитне организације које у Републици Српској послују посредством филијала, уз одобрење Агенције за банкарство Републике Српске. </w:t>
            </w:r>
          </w:p>
        </w:tc>
      </w:tr>
      <w:tr w:rsidR="00407C2F" w:rsidRPr="00407C2F" w:rsidTr="00B52BDA">
        <w:trPr>
          <w:trHeight w:val="66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105B" w:rsidRPr="00407C2F" w:rsidRDefault="00363956" w:rsidP="00363956">
            <w:pPr>
              <w:jc w:val="left"/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 xml:space="preserve">Износ </w:t>
            </w:r>
            <w:r w:rsidR="008A105B" w:rsidRPr="00407C2F">
              <w:rPr>
                <w:b/>
                <w:noProof/>
                <w:lang w:val="sr-Cyrl-BA"/>
              </w:rPr>
              <w:t>раниј</w:t>
            </w:r>
            <w:r w:rsidR="00357914">
              <w:rPr>
                <w:b/>
                <w:noProof/>
                <w:lang w:val="sr-Cyrl-BA"/>
              </w:rPr>
              <w:t>е одобрених кредита из Гарантног</w:t>
            </w:r>
            <w:r w:rsidR="008A105B" w:rsidRPr="00407C2F">
              <w:rPr>
                <w:b/>
                <w:noProof/>
                <w:lang w:val="sr-Cyrl-BA"/>
              </w:rPr>
              <w:t xml:space="preserve"> програма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A105B" w:rsidRPr="00407C2F" w:rsidRDefault="008A105B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4F4AFC">
        <w:trPr>
          <w:trHeight w:val="1022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05B" w:rsidRPr="00407C2F" w:rsidRDefault="008A105B" w:rsidP="004F4AFC">
            <w:pPr>
              <w:jc w:val="left"/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Нови кредит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5B" w:rsidRPr="00407C2F" w:rsidRDefault="008A105B" w:rsidP="004F4AFC">
            <w:pPr>
              <w:jc w:val="left"/>
              <w:rPr>
                <w:noProof/>
                <w:lang w:val="sr-Latn-RS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8A105B" w:rsidRPr="00407C2F" w:rsidRDefault="008A105B" w:rsidP="008A105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auto"/>
              </w:pBdr>
              <w:ind w:left="317" w:hanging="317"/>
              <w:jc w:val="left"/>
              <w:rPr>
                <w:noProof/>
                <w:color w:val="auto"/>
                <w:lang w:val="sr-Latn-RS"/>
              </w:rPr>
            </w:pPr>
            <w:r w:rsidRPr="00407C2F">
              <w:rPr>
                <w:noProof/>
                <w:color w:val="auto"/>
                <w:lang w:val="sr-Cyrl-RS"/>
              </w:rPr>
              <w:t>микро предузећа  ≤ 50.000,00 КМ</w:t>
            </w:r>
          </w:p>
          <w:p w:rsidR="008A105B" w:rsidRPr="00407C2F" w:rsidRDefault="008A105B" w:rsidP="008A105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auto"/>
              </w:pBdr>
              <w:ind w:left="317" w:hanging="317"/>
              <w:jc w:val="left"/>
              <w:rPr>
                <w:noProof/>
                <w:color w:val="auto"/>
                <w:lang w:val="sr-Latn-RS"/>
              </w:rPr>
            </w:pPr>
            <w:r w:rsidRPr="00407C2F">
              <w:rPr>
                <w:noProof/>
                <w:color w:val="auto"/>
                <w:lang w:val="sr-Cyrl-RS"/>
              </w:rPr>
              <w:t>мала предузеће ≤ 200.000,00 КМ</w:t>
            </w:r>
          </w:p>
          <w:p w:rsidR="008A105B" w:rsidRPr="00407C2F" w:rsidRDefault="00363956" w:rsidP="008A105B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auto"/>
              </w:pBdr>
              <w:ind w:left="317" w:hanging="317"/>
              <w:jc w:val="left"/>
              <w:rPr>
                <w:noProof/>
                <w:color w:val="auto"/>
                <w:lang w:val="sr-Latn-RS"/>
              </w:rPr>
            </w:pPr>
            <w:r w:rsidRPr="00407C2F">
              <w:rPr>
                <w:noProof/>
                <w:color w:val="auto"/>
                <w:lang w:val="sr-Cyrl-RS"/>
              </w:rPr>
              <w:t xml:space="preserve">средње и остала предузећа </w:t>
            </w:r>
            <w:r w:rsidR="008A105B" w:rsidRPr="00407C2F">
              <w:rPr>
                <w:noProof/>
                <w:color w:val="auto"/>
                <w:lang w:val="sr-Cyrl-RS"/>
              </w:rPr>
              <w:t>≤ 500.000,00 КМ</w:t>
            </w:r>
          </w:p>
        </w:tc>
      </w:tr>
      <w:tr w:rsidR="00407C2F" w:rsidRPr="00407C2F" w:rsidTr="00B52BDA">
        <w:trPr>
          <w:trHeight w:val="66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1823" w:rsidRPr="00407C2F" w:rsidRDefault="00F41823" w:rsidP="00577F3B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Кумулатив (раније одобрени кредит + нови кредит</w:t>
            </w:r>
            <w:r w:rsidR="00357914">
              <w:rPr>
                <w:b/>
                <w:noProof/>
                <w:lang w:val="sr-Cyrl-BA"/>
              </w:rPr>
              <w:t>)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41823" w:rsidRPr="00407C2F" w:rsidRDefault="00F41823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B52BDA">
        <w:trPr>
          <w:trHeight w:val="660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6574" w:rsidRPr="00407C2F" w:rsidRDefault="005A6574" w:rsidP="00577F3B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 xml:space="preserve">Износ гаранције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6574" w:rsidRPr="00407C2F" w:rsidRDefault="005A6574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FE7CCD">
        <w:trPr>
          <w:trHeight w:val="382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DC2" w:rsidRPr="00407C2F" w:rsidRDefault="00401DC2" w:rsidP="00401DC2">
            <w:pPr>
              <w:rPr>
                <w:noProof/>
                <w:sz w:val="20"/>
                <w:szCs w:val="20"/>
                <w:lang w:val="sr-Cyrl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 xml:space="preserve">Гаранције издате у складу са Гарантним програмом обезбјеђују највише до 70% износа главнице кредита одобреног привредном субјекту (стопа покрића). </w:t>
            </w:r>
          </w:p>
        </w:tc>
      </w:tr>
      <w:tr w:rsidR="00407C2F" w:rsidRPr="00407C2F" w:rsidTr="00B52BDA">
        <w:trPr>
          <w:trHeight w:val="419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 w:rsidP="00577F3B">
            <w:pPr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BA"/>
              </w:rPr>
              <w:t>Рок отплате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093DDE">
        <w:trPr>
          <w:trHeight w:val="194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CB" w:rsidRPr="00407C2F" w:rsidRDefault="00B74543" w:rsidP="00AB0DBF">
            <w:pPr>
              <w:rPr>
                <w:noProof/>
                <w:sz w:val="20"/>
                <w:szCs w:val="20"/>
                <w:lang w:val="sr-Latn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>Р</w:t>
            </w:r>
            <w:r w:rsidR="006C709C" w:rsidRPr="00407C2F">
              <w:rPr>
                <w:noProof/>
                <w:sz w:val="20"/>
                <w:szCs w:val="20"/>
                <w:lang w:val="sr-Cyrl-RS"/>
              </w:rPr>
              <w:t>ок отплате кр</w:t>
            </w:r>
            <w:r w:rsidR="00AB0DBF" w:rsidRPr="00407C2F">
              <w:rPr>
                <w:noProof/>
                <w:sz w:val="20"/>
                <w:szCs w:val="20"/>
                <w:lang w:val="sr-Cyrl-RS"/>
              </w:rPr>
              <w:t>е</w:t>
            </w:r>
            <w:r w:rsidR="006C709C" w:rsidRPr="00407C2F">
              <w:rPr>
                <w:noProof/>
                <w:sz w:val="20"/>
                <w:szCs w:val="20"/>
                <w:lang w:val="sr-Cyrl-RS"/>
              </w:rPr>
              <w:t xml:space="preserve">дита </w:t>
            </w:r>
            <w:r w:rsidRPr="00407C2F">
              <w:rPr>
                <w:noProof/>
                <w:sz w:val="20"/>
                <w:szCs w:val="20"/>
                <w:lang w:val="sr-Cyrl-RS"/>
              </w:rPr>
              <w:t>најдуже</w:t>
            </w:r>
            <w:r w:rsidR="006C709C" w:rsidRPr="00407C2F">
              <w:rPr>
                <w:noProof/>
                <w:sz w:val="20"/>
                <w:szCs w:val="20"/>
                <w:lang w:val="sr-Cyrl-RS"/>
              </w:rPr>
              <w:t xml:space="preserve"> 7 (седам)</w:t>
            </w:r>
            <w:r w:rsidR="00AB0DBF" w:rsidRPr="00407C2F">
              <w:rPr>
                <w:noProof/>
                <w:sz w:val="20"/>
                <w:szCs w:val="20"/>
                <w:lang w:val="sr-Cyrl-RS"/>
              </w:rPr>
              <w:t xml:space="preserve"> година</w:t>
            </w:r>
            <w:r w:rsidR="00895CCB" w:rsidRPr="00407C2F">
              <w:rPr>
                <w:noProof/>
                <w:sz w:val="20"/>
                <w:szCs w:val="20"/>
                <w:lang w:val="sr-Cyrl-RS"/>
              </w:rPr>
              <w:t xml:space="preserve"> укључујући 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 и почек (период одгоде плаћања)</w:t>
            </w:r>
            <w:r w:rsidR="00C11FB3" w:rsidRPr="00407C2F">
              <w:rPr>
                <w:noProof/>
                <w:sz w:val="20"/>
                <w:szCs w:val="20"/>
                <w:lang w:val="sr-Cyrl-RS"/>
              </w:rPr>
              <w:t>, изузев к</w:t>
            </w:r>
            <w:r w:rsidR="00AB0DBF" w:rsidRPr="00407C2F">
              <w:rPr>
                <w:noProof/>
                <w:sz w:val="20"/>
                <w:szCs w:val="20"/>
                <w:lang w:val="sr-Cyrl-RS"/>
              </w:rPr>
              <w:t>ад</w:t>
            </w:r>
            <w:r w:rsidR="00C11FB3" w:rsidRPr="00407C2F">
              <w:rPr>
                <w:noProof/>
                <w:sz w:val="20"/>
                <w:szCs w:val="20"/>
                <w:lang w:val="sr-Cyrl-RS"/>
              </w:rPr>
              <w:t xml:space="preserve"> је намјена кредита рефинансирање. У том случају, максималан рок отплате је 5 година.</w:t>
            </w:r>
          </w:p>
        </w:tc>
      </w:tr>
      <w:tr w:rsidR="00407C2F" w:rsidRPr="00407C2F" w:rsidTr="00B52BDA">
        <w:trPr>
          <w:trHeight w:val="403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 w:rsidP="00577F3B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lastRenderedPageBreak/>
              <w:t>Грејс период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093DDE">
        <w:trPr>
          <w:trHeight w:val="176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5CCB" w:rsidRPr="00407C2F" w:rsidRDefault="00B74543" w:rsidP="00DD117E">
            <w:pPr>
              <w:rPr>
                <w:noProof/>
                <w:sz w:val="20"/>
                <w:szCs w:val="20"/>
                <w:lang w:val="sr-Latn-RS"/>
              </w:rPr>
            </w:pPr>
            <w:r w:rsidRPr="00407C2F">
              <w:rPr>
                <w:noProof/>
                <w:sz w:val="20"/>
                <w:szCs w:val="20"/>
                <w:lang w:val="sr-Cyrl-BA"/>
              </w:rPr>
              <w:t>Почек (период одгоде плаћања) ако је уговорен до 12 мјесеци</w:t>
            </w:r>
          </w:p>
        </w:tc>
      </w:tr>
      <w:tr w:rsidR="00407C2F" w:rsidRPr="00407C2F" w:rsidTr="00746278">
        <w:trPr>
          <w:trHeight w:val="933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CCB" w:rsidRPr="00407C2F" w:rsidRDefault="00895CCB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Каматна стопа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5CCB" w:rsidRPr="00407C2F" w:rsidRDefault="00895CCB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093DDE">
        <w:trPr>
          <w:trHeight w:val="641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CCB" w:rsidRPr="00407C2F" w:rsidRDefault="00DD117E" w:rsidP="00DD117E">
            <w:pPr>
              <w:rPr>
                <w:noProof/>
                <w:sz w:val="20"/>
                <w:szCs w:val="20"/>
                <w:lang w:val="sr-Cyrl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>Каматну стопу утврђује финансијска организација у складу са властитом кр</w:t>
            </w:r>
            <w:r w:rsidR="006C6BDA" w:rsidRPr="00407C2F">
              <w:rPr>
                <w:noProof/>
                <w:sz w:val="20"/>
                <w:szCs w:val="20"/>
                <w:lang w:val="sr-Cyrl-RS"/>
              </w:rPr>
              <w:t xml:space="preserve">едитним политиком, </w:t>
            </w:r>
            <w:r w:rsidR="00B74543" w:rsidRPr="00407C2F">
              <w:rPr>
                <w:noProof/>
                <w:sz w:val="20"/>
                <w:szCs w:val="20"/>
                <w:lang w:val="sr-Cyrl-RS"/>
              </w:rPr>
              <w:t xml:space="preserve">а </w:t>
            </w:r>
            <w:r w:rsidR="006C6BDA" w:rsidRPr="00407C2F">
              <w:rPr>
                <w:noProof/>
                <w:sz w:val="20"/>
                <w:szCs w:val="20"/>
                <w:lang w:val="sr-Cyrl-RS"/>
              </w:rPr>
              <w:t>највише до ка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матне стопе утврђене у спроведеном поступку јавног позива за исказивање интереса за учешће у Гарантном програму. </w:t>
            </w:r>
          </w:p>
        </w:tc>
      </w:tr>
      <w:tr w:rsidR="00407C2F" w:rsidRPr="00407C2F" w:rsidTr="00B52BDA">
        <w:trPr>
          <w:trHeight w:val="48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>
            <w:pPr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RS"/>
              </w:rPr>
              <w:t>Датум Уговора о кредиту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>
            <w:pPr>
              <w:jc w:val="left"/>
              <w:rPr>
                <w:noProof/>
                <w:lang w:val="sr-Latn-RS"/>
              </w:rPr>
            </w:pPr>
          </w:p>
        </w:tc>
      </w:tr>
      <w:tr w:rsidR="00407C2F" w:rsidRPr="00407C2F" w:rsidTr="00B52BDA">
        <w:trPr>
          <w:trHeight w:val="854"/>
        </w:trPr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7F3B" w:rsidRPr="00407C2F" w:rsidRDefault="00577F3B" w:rsidP="00577F3B">
            <w:pPr>
              <w:rPr>
                <w:noProof/>
                <w:lang w:val="sr-Cyrl-RS"/>
              </w:rPr>
            </w:pPr>
            <w:r w:rsidRPr="00407C2F">
              <w:rPr>
                <w:noProof/>
                <w:lang w:val="sr-Cyrl-BA"/>
              </w:rPr>
              <w:t xml:space="preserve">Да ли је </w:t>
            </w:r>
            <w:r w:rsidR="00401DC2" w:rsidRPr="00407C2F">
              <w:rPr>
                <w:noProof/>
                <w:lang w:val="sr-Cyrl-BA"/>
              </w:rPr>
              <w:t>Уговор о кредиту</w:t>
            </w:r>
            <w:r w:rsidRPr="00407C2F">
              <w:rPr>
                <w:noProof/>
                <w:lang w:val="sr-Cyrl-BA"/>
              </w:rPr>
              <w:t xml:space="preserve"> закључен за ври</w:t>
            </w:r>
            <w:r w:rsidR="008F4281" w:rsidRPr="00407C2F">
              <w:rPr>
                <w:noProof/>
                <w:lang w:val="sr-Cyrl-BA"/>
              </w:rPr>
              <w:t xml:space="preserve">јеме трајања Гарантног програма, </w:t>
            </w:r>
            <w:r w:rsidR="00B74543" w:rsidRPr="00407C2F">
              <w:rPr>
                <w:noProof/>
                <w:lang w:val="sr-Cyrl-BA"/>
              </w:rPr>
              <w:t>а који се спроводи до 31.12.2022</w:t>
            </w:r>
            <w:r w:rsidR="008F4281" w:rsidRPr="00407C2F">
              <w:rPr>
                <w:noProof/>
                <w:lang w:val="sr-Cyrl-BA"/>
              </w:rPr>
              <w:t xml:space="preserve">. године? </w:t>
            </w:r>
          </w:p>
        </w:tc>
        <w:tc>
          <w:tcPr>
            <w:tcW w:w="6237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F3B" w:rsidRPr="00407C2F" w:rsidRDefault="001E2143" w:rsidP="001E2143">
            <w:pPr>
              <w:jc w:val="center"/>
              <w:rPr>
                <w:noProof/>
                <w:lang w:val="sr-Latn-RS"/>
              </w:rPr>
            </w:pP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Да                       </w:t>
            </w: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Не</w:t>
            </w:r>
          </w:p>
        </w:tc>
      </w:tr>
      <w:tr w:rsidR="00407C2F" w:rsidRPr="00407C2F" w:rsidTr="00C85FC6">
        <w:trPr>
          <w:trHeight w:val="456"/>
        </w:trPr>
        <w:tc>
          <w:tcPr>
            <w:tcW w:w="39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472E9" w:rsidRPr="00407C2F" w:rsidRDefault="000472E9" w:rsidP="000472E9">
            <w:pPr>
              <w:jc w:val="left"/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Намјена кредита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E9" w:rsidRPr="00407C2F" w:rsidRDefault="000472E9" w:rsidP="000472E9">
            <w:pPr>
              <w:jc w:val="left"/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RS"/>
              </w:rPr>
              <w:t xml:space="preserve">финансирање основне дјелатности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472E9" w:rsidRPr="00407C2F" w:rsidRDefault="000472E9" w:rsidP="00642EB8">
            <w:pPr>
              <w:jc w:val="center"/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RS"/>
              </w:rPr>
              <w:sym w:font="Symbol" w:char="F086"/>
            </w:r>
            <w:r w:rsidRPr="00407C2F">
              <w:rPr>
                <w:b/>
                <w:noProof/>
                <w:lang w:val="sr-Cyrl-RS"/>
              </w:rPr>
              <w:t xml:space="preserve"> Да        </w:t>
            </w:r>
            <w:r w:rsidRPr="00407C2F">
              <w:rPr>
                <w:b/>
                <w:noProof/>
                <w:lang w:val="sr-Cyrl-RS"/>
              </w:rPr>
              <w:sym w:font="Symbol" w:char="F086"/>
            </w:r>
            <w:r w:rsidRPr="00407C2F">
              <w:rPr>
                <w:b/>
                <w:noProof/>
                <w:lang w:val="sr-Cyrl-RS"/>
              </w:rPr>
              <w:t xml:space="preserve"> Не</w:t>
            </w:r>
          </w:p>
        </w:tc>
      </w:tr>
      <w:tr w:rsidR="00407C2F" w:rsidRPr="00407C2F" w:rsidTr="00C85FC6">
        <w:trPr>
          <w:trHeight w:val="156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85FC6" w:rsidRPr="00407C2F" w:rsidRDefault="00C85FC6" w:rsidP="000472E9">
            <w:pPr>
              <w:jc w:val="left"/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C85FC6">
            <w:pPr>
              <w:pStyle w:val="ListParagraph"/>
              <w:ind w:left="317"/>
              <w:jc w:val="left"/>
              <w:rPr>
                <w:noProof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A62EBA">
            <w:pPr>
              <w:jc w:val="center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t>Износ у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 w:rsidP="00A62EBA">
            <w:pPr>
              <w:jc w:val="center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t>% у односу на кредит</w:t>
            </w:r>
          </w:p>
        </w:tc>
      </w:tr>
      <w:tr w:rsidR="00407C2F" w:rsidRPr="00407C2F" w:rsidTr="00C85FC6">
        <w:trPr>
          <w:trHeight w:val="509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>
            <w:pPr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C85FC6">
            <w:pPr>
              <w:pStyle w:val="ListParagraph"/>
              <w:numPr>
                <w:ilvl w:val="0"/>
                <w:numId w:val="8"/>
              </w:numPr>
              <w:ind w:left="318" w:hanging="284"/>
              <w:jc w:val="left"/>
              <w:rPr>
                <w:noProof/>
                <w:color w:val="auto"/>
                <w:lang w:val="sr-Cyrl-RS"/>
              </w:rPr>
            </w:pPr>
            <w:r w:rsidRPr="00407C2F">
              <w:rPr>
                <w:noProof/>
                <w:color w:val="auto"/>
                <w:lang w:val="sr-Cyrl-RS"/>
              </w:rPr>
              <w:t>одржавање ликвидности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C6" w:rsidRPr="00407C2F" w:rsidRDefault="00C85FC6" w:rsidP="00A62EBA">
            <w:pPr>
              <w:jc w:val="left"/>
              <w:rPr>
                <w:noProof/>
                <w:lang w:val="sr-Cyrl-RS" w:eastAsia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5FC6" w:rsidRPr="00407C2F" w:rsidRDefault="00C85FC6" w:rsidP="00A62EBA">
            <w:pPr>
              <w:jc w:val="left"/>
              <w:rPr>
                <w:noProof/>
                <w:lang w:val="sr-Cyrl-RS" w:eastAsia="bs-Latn-BA"/>
              </w:rPr>
            </w:pPr>
          </w:p>
        </w:tc>
      </w:tr>
      <w:tr w:rsidR="00407C2F" w:rsidRPr="00407C2F" w:rsidTr="00C85FC6">
        <w:trPr>
          <w:trHeight w:val="388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>
            <w:pPr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133EF0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noProof/>
                <w:color w:val="auto"/>
                <w:lang w:val="sr-Cyrl-RS"/>
              </w:rPr>
            </w:pPr>
            <w:r w:rsidRPr="00407C2F">
              <w:rPr>
                <w:noProof/>
                <w:color w:val="auto"/>
                <w:lang w:val="sr-Cyrl-RS"/>
              </w:rPr>
              <w:t xml:space="preserve">обртна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A62EBA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 w:rsidP="00A62EBA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</w:tr>
      <w:tr w:rsidR="00407C2F" w:rsidRPr="00407C2F" w:rsidTr="00C85FC6">
        <w:trPr>
          <w:trHeight w:val="479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>
            <w:pPr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133EF0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noProof/>
                <w:color w:val="auto"/>
                <w:lang w:val="sr-Cyrl-RS"/>
              </w:rPr>
            </w:pPr>
            <w:r w:rsidRPr="00407C2F">
              <w:rPr>
                <w:noProof/>
                <w:color w:val="auto"/>
                <w:lang w:val="sr-Cyrl-RS"/>
              </w:rPr>
              <w:t xml:space="preserve">инвестициони  трошкови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A62EBA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 w:rsidP="00A62EBA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</w:tr>
      <w:tr w:rsidR="00407C2F" w:rsidRPr="00407C2F" w:rsidTr="00C85FC6">
        <w:trPr>
          <w:trHeight w:val="479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 w:rsidP="00DD5507">
            <w:pPr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C85FC6">
            <w:pPr>
              <w:pStyle w:val="ListParagraph"/>
              <w:numPr>
                <w:ilvl w:val="0"/>
                <w:numId w:val="2"/>
              </w:numPr>
              <w:ind w:left="317" w:hanging="317"/>
              <w:jc w:val="left"/>
              <w:rPr>
                <w:noProof/>
                <w:color w:val="auto"/>
                <w:lang w:val="sr-Cyrl-RS"/>
              </w:rPr>
            </w:pPr>
            <w:r w:rsidRPr="00407C2F">
              <w:rPr>
                <w:noProof/>
                <w:color w:val="auto"/>
                <w:lang w:val="sr-Cyrl-RS"/>
              </w:rPr>
              <w:t>рефинансирање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C6" w:rsidRPr="00407C2F" w:rsidRDefault="00C85FC6" w:rsidP="00DD5507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85FC6" w:rsidRPr="00407C2F" w:rsidRDefault="00C85FC6" w:rsidP="00DD5507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</w:tr>
      <w:tr w:rsidR="00407C2F" w:rsidRPr="00407C2F" w:rsidTr="007B737A">
        <w:trPr>
          <w:trHeight w:val="1105"/>
        </w:trPr>
        <w:tc>
          <w:tcPr>
            <w:tcW w:w="3969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b/>
                <w:noProof/>
                <w:lang w:val="sr-Cyrl-BA"/>
              </w:rPr>
            </w:pPr>
          </w:p>
        </w:tc>
        <w:tc>
          <w:tcPr>
            <w:tcW w:w="326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pStyle w:val="ListParagraph"/>
              <w:ind w:left="33"/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Нови кредити се могу одобрити за намјену рефинансирања ако су кумулативно испуњени сљедећи услови: </w:t>
            </w:r>
          </w:p>
          <w:p w:rsidR="00DD5507" w:rsidRPr="00407C2F" w:rsidRDefault="00DD5507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промјена првобитног уговора узрокована је текућим потребама привредног субјекта усљед утицаја пандемије болести </w:t>
            </w:r>
            <w:r w:rsidRPr="00407C2F">
              <w:rPr>
                <w:noProof/>
                <w:color w:val="auto"/>
                <w:sz w:val="20"/>
                <w:szCs w:val="20"/>
              </w:rPr>
              <w:t>„COVID 19“</w:t>
            </w: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 на његово пословање; </w:t>
            </w:r>
          </w:p>
          <w:p w:rsidR="00DD5507" w:rsidRPr="00407C2F" w:rsidRDefault="00DD5507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 xml:space="preserve">накнадно договорени услови кредитирања у оквиру Гарантног програма повољнији су за корисника кредита у односу на провобитно уговорене; </w:t>
            </w:r>
          </w:p>
          <w:p w:rsidR="00DD5507" w:rsidRPr="00407C2F" w:rsidRDefault="00DD5507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кредит који је предмет рефинансирања није у статусу неизмирења обавеза према прописима Агенције за банкарство Републике Српске на дан закључења уговора о новом кредиту</w:t>
            </w:r>
          </w:p>
          <w:p w:rsidR="007B737A" w:rsidRPr="00407C2F" w:rsidRDefault="007B737A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рок отплате може бити најдуже 5 година</w:t>
            </w:r>
          </w:p>
          <w:p w:rsidR="00363956" w:rsidRPr="00407C2F" w:rsidRDefault="00363956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t>највише 70% од појединачног кредита може бити одобрено за ову намјену</w:t>
            </w:r>
          </w:p>
          <w:p w:rsidR="007B737A" w:rsidRPr="00407C2F" w:rsidRDefault="007B737A" w:rsidP="00DD5507">
            <w:pPr>
              <w:pStyle w:val="ListParagraph"/>
              <w:numPr>
                <w:ilvl w:val="0"/>
                <w:numId w:val="7"/>
              </w:numPr>
              <w:jc w:val="left"/>
              <w:rPr>
                <w:noProof/>
                <w:color w:val="auto"/>
                <w:sz w:val="20"/>
                <w:szCs w:val="20"/>
                <w:lang w:val="sr-Cyrl-RS"/>
              </w:rPr>
            </w:pPr>
            <w:r w:rsidRPr="00407C2F">
              <w:rPr>
                <w:noProof/>
                <w:color w:val="auto"/>
                <w:sz w:val="20"/>
                <w:szCs w:val="20"/>
                <w:lang w:val="sr-Cyrl-RS"/>
              </w:rPr>
              <w:lastRenderedPageBreak/>
              <w:t>највише 30% од уговореног кредитног портфолија може бити одобрено за ову намјену</w:t>
            </w:r>
          </w:p>
          <w:p w:rsidR="00DD5507" w:rsidRPr="00407C2F" w:rsidRDefault="00DD5507" w:rsidP="00746278">
            <w:pPr>
              <w:jc w:val="left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spacing w:after="200" w:line="276" w:lineRule="auto"/>
              <w:jc w:val="center"/>
              <w:rPr>
                <w:noProof/>
                <w:lang w:val="sr-Cyrl-RS" w:eastAsia="bs-Latn-BA"/>
              </w:rPr>
            </w:pPr>
          </w:p>
        </w:tc>
      </w:tr>
      <w:tr w:rsidR="00407C2F" w:rsidRPr="00407C2F" w:rsidTr="00746278">
        <w:trPr>
          <w:trHeight w:val="1417"/>
        </w:trPr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b/>
                <w:noProof/>
                <w:lang w:val="sr-Cyrl-BA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5507" w:rsidRPr="00407C2F" w:rsidRDefault="00DD5507" w:rsidP="00DD5507">
            <w:pPr>
              <w:jc w:val="left"/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RS"/>
              </w:rPr>
              <w:t xml:space="preserve">Образложење намјене кредита: </w:t>
            </w:r>
          </w:p>
        </w:tc>
      </w:tr>
      <w:tr w:rsidR="00407C2F" w:rsidRPr="00407C2F" w:rsidTr="00746278">
        <w:trPr>
          <w:trHeight w:val="1562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6278" w:rsidRPr="00407C2F" w:rsidRDefault="00DD5507" w:rsidP="00DD5507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Инструменти обезбјеђења</w:t>
            </w:r>
          </w:p>
          <w:p w:rsidR="00746278" w:rsidRPr="00407C2F" w:rsidRDefault="00746278" w:rsidP="00746278">
            <w:pPr>
              <w:rPr>
                <w:lang w:val="sr-Cyrl-BA"/>
              </w:rPr>
            </w:pPr>
          </w:p>
          <w:p w:rsidR="00DD5507" w:rsidRPr="00407C2F" w:rsidRDefault="00DD5507" w:rsidP="00746278">
            <w:pPr>
              <w:rPr>
                <w:lang w:val="sr-Cyrl-BA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5507" w:rsidRPr="00407C2F" w:rsidRDefault="00DD5507" w:rsidP="00DD5507">
            <w:pPr>
              <w:jc w:val="left"/>
              <w:rPr>
                <w:noProof/>
                <w:lang w:val="sr-Cyrl-RS"/>
              </w:rPr>
            </w:pPr>
          </w:p>
        </w:tc>
      </w:tr>
      <w:tr w:rsidR="00407C2F" w:rsidRPr="00407C2F" w:rsidTr="00401DC2">
        <w:trPr>
          <w:trHeight w:val="712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085B38">
            <w:pPr>
              <w:rPr>
                <w:noProof/>
                <w:sz w:val="20"/>
                <w:szCs w:val="20"/>
                <w:lang w:val="sr-Cyrl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 xml:space="preserve">Инструменте обезбјеђења </w:t>
            </w:r>
            <w:r w:rsidR="00B74543" w:rsidRPr="00407C2F">
              <w:rPr>
                <w:noProof/>
                <w:sz w:val="20"/>
                <w:szCs w:val="20"/>
                <w:lang w:val="sr-Cyrl-RS"/>
              </w:rPr>
              <w:t xml:space="preserve">кредита, 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поред  гаранције издате у оквиру Гарантног програма, самостално утврђује финансијска организација, </w:t>
            </w:r>
            <w:r w:rsidR="00B74543" w:rsidRPr="00407C2F">
              <w:rPr>
                <w:noProof/>
                <w:sz w:val="20"/>
                <w:szCs w:val="20"/>
                <w:lang w:val="sr-Cyrl-RS"/>
              </w:rPr>
              <w:t xml:space="preserve">узимајући у обзир и заштиту од кредитног ризика обезбјеђену гаранцију, 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а најмање </w:t>
            </w:r>
            <w:r w:rsidR="00085B38" w:rsidRPr="00407C2F">
              <w:rPr>
                <w:noProof/>
                <w:sz w:val="20"/>
                <w:szCs w:val="20"/>
                <w:lang w:val="sr-Cyrl-RS"/>
              </w:rPr>
              <w:t xml:space="preserve">мјенице </w:t>
            </w:r>
            <w:r w:rsidRPr="00407C2F">
              <w:rPr>
                <w:noProof/>
                <w:sz w:val="20"/>
                <w:szCs w:val="20"/>
                <w:lang w:val="sr-Cyrl-RS"/>
              </w:rPr>
              <w:t xml:space="preserve">корисника кредита и његовог већинског власника. </w:t>
            </w:r>
          </w:p>
        </w:tc>
      </w:tr>
      <w:tr w:rsidR="00407C2F" w:rsidRPr="00407C2F" w:rsidTr="00093DDE">
        <w:trPr>
          <w:trHeight w:val="546"/>
        </w:trPr>
        <w:tc>
          <w:tcPr>
            <w:tcW w:w="595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5507" w:rsidRPr="00407C2F" w:rsidRDefault="00DD5507" w:rsidP="00DD5507">
            <w:pPr>
              <w:jc w:val="left"/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 xml:space="preserve">Да ли је корисник кредита био у финансијским потешкоћама на дан 31.12.2019. године? 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ind w:left="1026" w:hanging="644"/>
              <w:jc w:val="left"/>
              <w:rPr>
                <w:noProof/>
                <w:lang w:val="sr-Latn-RS"/>
              </w:rPr>
            </w:pP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Да                       </w:t>
            </w: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Не                  </w:t>
            </w:r>
          </w:p>
        </w:tc>
      </w:tr>
      <w:tr w:rsidR="00407C2F" w:rsidRPr="00407C2F" w:rsidTr="00A2789D">
        <w:trPr>
          <w:trHeight w:val="2389"/>
        </w:trPr>
        <w:tc>
          <w:tcPr>
            <w:tcW w:w="5954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jc w:val="left"/>
              <w:rPr>
                <w:b/>
                <w:noProof/>
                <w:lang w:val="sr-Cyrl-BA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ind w:left="459" w:hanging="459"/>
              <w:jc w:val="left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t></w:t>
            </w:r>
            <w:r w:rsidRPr="00407C2F">
              <w:rPr>
                <w:noProof/>
                <w:lang w:val="sr-Cyrl-RS"/>
              </w:rPr>
              <w:tab/>
              <w:t xml:space="preserve">Финансијски извјештај на дан 31.12.2019. </w:t>
            </w:r>
          </w:p>
          <w:p w:rsidR="00DD5507" w:rsidRPr="00407C2F" w:rsidRDefault="00DD5507" w:rsidP="00827F30">
            <w:pPr>
              <w:jc w:val="left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t xml:space="preserve"> </w:t>
            </w:r>
          </w:p>
          <w:p w:rsidR="00DD5507" w:rsidRPr="00407C2F" w:rsidRDefault="00DD5507" w:rsidP="00DD5507">
            <w:pPr>
              <w:ind w:left="459" w:hanging="459"/>
              <w:jc w:val="left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t></w:t>
            </w:r>
            <w:r w:rsidRPr="00407C2F">
              <w:rPr>
                <w:noProof/>
                <w:lang w:val="sr-Cyrl-RS"/>
              </w:rPr>
              <w:tab/>
              <w:t xml:space="preserve">Увјерење о измиреним пореским обавезама </w:t>
            </w:r>
          </w:p>
        </w:tc>
      </w:tr>
      <w:tr w:rsidR="00407C2F" w:rsidRPr="00407C2F" w:rsidTr="00093DDE">
        <w:trPr>
          <w:trHeight w:val="855"/>
        </w:trPr>
        <w:tc>
          <w:tcPr>
            <w:tcW w:w="59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noProof/>
                <w:lang w:val="sr-Cyrl-RS"/>
              </w:rPr>
            </w:pPr>
            <w:r w:rsidRPr="00407C2F">
              <w:rPr>
                <w:b/>
                <w:noProof/>
                <w:lang w:val="sr-Cyrl-BA"/>
              </w:rPr>
              <w:t>Да ли корисник кредита има повезана лица која су изложена Гарантном програму подршке привреди?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jc w:val="center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Да                       </w:t>
            </w: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Не</w:t>
            </w:r>
          </w:p>
        </w:tc>
      </w:tr>
      <w:tr w:rsidR="00407C2F" w:rsidRPr="00407C2F" w:rsidTr="004B6103">
        <w:trPr>
          <w:trHeight w:val="1355"/>
        </w:trPr>
        <w:tc>
          <w:tcPr>
            <w:tcW w:w="595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Уколико има</w:t>
            </w:r>
            <w:r w:rsidR="00746278" w:rsidRPr="00407C2F">
              <w:rPr>
                <w:b/>
                <w:noProof/>
                <w:lang w:val="sr-Cyrl-BA"/>
              </w:rPr>
              <w:t>,</w:t>
            </w:r>
            <w:r w:rsidRPr="00407C2F">
              <w:rPr>
                <w:b/>
                <w:noProof/>
                <w:lang w:val="sr-Cyrl-BA"/>
              </w:rPr>
              <w:t xml:space="preserve"> навести која су и колика је њихова изложеност у односу на уговорени волумен портфолија финансијске организације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ind w:left="360"/>
              <w:jc w:val="left"/>
              <w:rPr>
                <w:noProof/>
                <w:lang w:val="sr-Cyrl-RS"/>
              </w:rPr>
            </w:pPr>
          </w:p>
        </w:tc>
      </w:tr>
      <w:tr w:rsidR="00407C2F" w:rsidRPr="00407C2F" w:rsidTr="00401DC2">
        <w:trPr>
          <w:trHeight w:val="546"/>
        </w:trPr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noProof/>
                <w:sz w:val="20"/>
                <w:szCs w:val="20"/>
                <w:lang w:val="sr-Cyrl-RS"/>
              </w:rPr>
            </w:pPr>
            <w:r w:rsidRPr="00407C2F">
              <w:rPr>
                <w:noProof/>
                <w:sz w:val="20"/>
                <w:szCs w:val="20"/>
                <w:lang w:val="sr-Cyrl-RS"/>
              </w:rPr>
              <w:t>Укупна концентрација (излагање) према једном или групи повезаних привредних субјеката не може бити већа од 3% највишег волумена портфолија уговореног са финансијском организацијом.</w:t>
            </w:r>
          </w:p>
        </w:tc>
      </w:tr>
      <w:tr w:rsidR="00407C2F" w:rsidRPr="00407C2F" w:rsidTr="00093DDE">
        <w:trPr>
          <w:trHeight w:val="1801"/>
        </w:trPr>
        <w:tc>
          <w:tcPr>
            <w:tcW w:w="5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 xml:space="preserve">Да ли је корисник кредита доставио финансијској организацији документацију у складу с чланом </w:t>
            </w:r>
            <w:r w:rsidRPr="00407C2F">
              <w:rPr>
                <w:b/>
                <w:noProof/>
                <w:lang w:val="bs-Latn-BA"/>
              </w:rPr>
              <w:t xml:space="preserve">X </w:t>
            </w:r>
            <w:r w:rsidRPr="00407C2F">
              <w:rPr>
                <w:b/>
                <w:noProof/>
                <w:lang w:val="sr-Cyrl-RS"/>
              </w:rPr>
              <w:t xml:space="preserve">подтачком 3. Одлуке </w:t>
            </w:r>
            <w:r w:rsidRPr="00407C2F">
              <w:rPr>
                <w:b/>
                <w:noProof/>
                <w:lang w:val="sr-Cyrl-BA"/>
              </w:rPr>
              <w:t xml:space="preserve">о гарантном програму подршке привреди за ублажавање посљедица пандемије болести </w:t>
            </w:r>
            <w:r w:rsidRPr="00407C2F">
              <w:rPr>
                <w:b/>
                <w:lang w:val="sr-Cyrl-RS"/>
              </w:rPr>
              <w:t>„</w:t>
            </w:r>
            <w:r w:rsidRPr="00407C2F">
              <w:rPr>
                <w:b/>
              </w:rPr>
              <w:t>COVID-19“</w:t>
            </w:r>
            <w:r w:rsidRPr="00407C2F">
              <w:rPr>
                <w:b/>
                <w:lang w:val="sr-Cyrl-RS"/>
              </w:rPr>
              <w:t>?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jc w:val="center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Да                       </w:t>
            </w: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Не</w:t>
            </w:r>
          </w:p>
        </w:tc>
      </w:tr>
      <w:tr w:rsidR="00407C2F" w:rsidRPr="00407C2F" w:rsidTr="00BB7019">
        <w:trPr>
          <w:trHeight w:val="837"/>
        </w:trPr>
        <w:tc>
          <w:tcPr>
            <w:tcW w:w="59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507" w:rsidRPr="00407C2F" w:rsidRDefault="00DD5507" w:rsidP="00DD5507">
            <w:pPr>
              <w:rPr>
                <w:b/>
                <w:noProof/>
                <w:lang w:val="sr-Cyrl-BA"/>
              </w:rPr>
            </w:pPr>
            <w:r w:rsidRPr="00407C2F">
              <w:rPr>
                <w:b/>
                <w:noProof/>
                <w:lang w:val="sr-Cyrl-BA"/>
              </w:rPr>
              <w:t>Да ли је корисник кредита испоштовао уговорне обавезе из Гарантног програма подршке привредним субјектима?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5507" w:rsidRPr="00407C2F" w:rsidRDefault="00DD5507" w:rsidP="00DD5507">
            <w:pPr>
              <w:jc w:val="center"/>
              <w:rPr>
                <w:noProof/>
                <w:lang w:val="sr-Cyrl-RS"/>
              </w:rPr>
            </w:pP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Да                       </w:t>
            </w:r>
            <w:r w:rsidRPr="00407C2F">
              <w:rPr>
                <w:noProof/>
                <w:lang w:val="sr-Cyrl-RS"/>
              </w:rPr>
              <w:sym w:font="Symbol" w:char="F086"/>
            </w:r>
            <w:r w:rsidRPr="00407C2F">
              <w:rPr>
                <w:noProof/>
                <w:lang w:val="sr-Cyrl-RS"/>
              </w:rPr>
              <w:t xml:space="preserve"> Не</w:t>
            </w:r>
          </w:p>
        </w:tc>
      </w:tr>
      <w:tr w:rsidR="00580C65" w:rsidRPr="00407C2F" w:rsidTr="004B6103">
        <w:trPr>
          <w:trHeight w:val="833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C65" w:rsidRPr="00407C2F" w:rsidRDefault="00580C65" w:rsidP="00DD5507">
            <w:pPr>
              <w:jc w:val="left"/>
              <w:rPr>
                <w:b/>
                <w:noProof/>
                <w:lang w:val="sr-Cyrl-RS"/>
              </w:rPr>
            </w:pPr>
            <w:r>
              <w:rPr>
                <w:noProof/>
                <w:sz w:val="20"/>
                <w:szCs w:val="20"/>
                <w:lang w:val="sr-Cyrl-BA"/>
              </w:rPr>
              <w:t>П</w:t>
            </w:r>
            <w:r w:rsidRPr="00407C2F">
              <w:rPr>
                <w:noProof/>
                <w:sz w:val="20"/>
                <w:szCs w:val="20"/>
                <w:lang w:val="sr-Cyrl-RS"/>
              </w:rPr>
              <w:t>ривредни субјекти који су већ корисници кредита обезбијеђеног гаранцијом из Гарантног програма</w:t>
            </w:r>
            <w:r>
              <w:rPr>
                <w:noProof/>
                <w:sz w:val="20"/>
                <w:szCs w:val="20"/>
                <w:lang w:val="sr-Cyrl-RS"/>
              </w:rPr>
              <w:t xml:space="preserve"> могу аплицирати за нови кредит</w:t>
            </w:r>
            <w:r w:rsidRPr="00407C2F">
              <w:rPr>
                <w:noProof/>
                <w:sz w:val="20"/>
                <w:szCs w:val="20"/>
                <w:lang w:val="sr-Cyrl-RS"/>
              </w:rPr>
              <w:t>, уз услов да укупан износ одобрених кредита не пређе максимални износ кредита утврђен по врстама привредних субјеката, при том водећи рачуна о евентуалним кредитима код других финансијских организација</w:t>
            </w:r>
            <w:r>
              <w:rPr>
                <w:noProof/>
                <w:sz w:val="20"/>
                <w:szCs w:val="20"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407C2F" w:rsidRPr="00407C2F" w:rsidTr="004B6103">
        <w:trPr>
          <w:trHeight w:val="833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5507" w:rsidRPr="00407C2F" w:rsidRDefault="00DD5507" w:rsidP="00DD5507">
            <w:pPr>
              <w:jc w:val="left"/>
              <w:rPr>
                <w:b/>
                <w:noProof/>
                <w:lang w:val="sr-Cyrl-RS"/>
              </w:rPr>
            </w:pPr>
            <w:r w:rsidRPr="00407C2F">
              <w:rPr>
                <w:b/>
                <w:noProof/>
                <w:lang w:val="sr-Cyrl-RS"/>
              </w:rPr>
              <w:lastRenderedPageBreak/>
              <w:t xml:space="preserve">Напомена: </w:t>
            </w:r>
          </w:p>
        </w:tc>
      </w:tr>
    </w:tbl>
    <w:p w:rsidR="00401DC2" w:rsidRPr="00407C2F" w:rsidRDefault="00642EB8" w:rsidP="00642EB8">
      <w:pPr>
        <w:spacing w:line="276" w:lineRule="auto"/>
        <w:rPr>
          <w:lang w:val="sr-Cyrl-RS"/>
        </w:rPr>
      </w:pPr>
      <w:r w:rsidRPr="00407C2F">
        <w:rPr>
          <w:lang w:val="sr-Cyrl-RS"/>
        </w:rPr>
        <w:t xml:space="preserve">                                                                                                             </w:t>
      </w:r>
    </w:p>
    <w:p w:rsidR="00746278" w:rsidRPr="00407C2F" w:rsidRDefault="00746278" w:rsidP="00642EB8">
      <w:pPr>
        <w:spacing w:line="276" w:lineRule="auto"/>
        <w:rPr>
          <w:lang w:val="sr-Cyrl-RS"/>
        </w:rPr>
      </w:pPr>
    </w:p>
    <w:p w:rsidR="00746278" w:rsidRPr="00407C2F" w:rsidRDefault="00746278" w:rsidP="00642EB8">
      <w:pPr>
        <w:spacing w:line="276" w:lineRule="auto"/>
        <w:rPr>
          <w:lang w:val="sr-Latn-RS"/>
        </w:rPr>
      </w:pPr>
    </w:p>
    <w:p w:rsidR="00ED72F0" w:rsidRPr="00407C2F" w:rsidRDefault="00642EB8" w:rsidP="00642EB8">
      <w:pPr>
        <w:spacing w:line="276" w:lineRule="auto"/>
        <w:rPr>
          <w:rFonts w:eastAsiaTheme="minorEastAsia"/>
          <w:noProof/>
          <w:lang w:val="bs-Cyrl-BA" w:eastAsia="sr-Latn-RS"/>
        </w:rPr>
      </w:pPr>
      <w:r w:rsidRPr="00407C2F">
        <w:rPr>
          <w:lang w:val="sr-Cyrl-RS"/>
        </w:rPr>
        <w:t xml:space="preserve">                                                                              </w:t>
      </w:r>
      <w:r w:rsidR="00516F03" w:rsidRPr="00407C2F">
        <w:rPr>
          <w:lang w:val="sr-Cyrl-RS"/>
        </w:rPr>
        <w:t xml:space="preserve">                             </w:t>
      </w:r>
      <w:r w:rsidR="00ED72F0" w:rsidRPr="00407C2F">
        <w:rPr>
          <w:rFonts w:eastAsiaTheme="minorEastAsia"/>
          <w:noProof/>
          <w:lang w:val="bs-Cyrl-BA" w:eastAsia="sr-Latn-RS"/>
        </w:rPr>
        <w:t>___________________</w:t>
      </w:r>
      <w:r w:rsidR="00516F03" w:rsidRPr="00407C2F">
        <w:rPr>
          <w:rFonts w:eastAsiaTheme="minorEastAsia"/>
          <w:noProof/>
          <w:lang w:val="bs-Cyrl-BA" w:eastAsia="sr-Latn-RS"/>
        </w:rPr>
        <w:t>___</w:t>
      </w:r>
    </w:p>
    <w:p w:rsidR="00ED72F0" w:rsidRPr="00407C2F" w:rsidRDefault="001B67FB" w:rsidP="00ED72F0">
      <w:pPr>
        <w:tabs>
          <w:tab w:val="left" w:pos="5964"/>
        </w:tabs>
        <w:spacing w:line="276" w:lineRule="auto"/>
        <w:jc w:val="right"/>
        <w:rPr>
          <w:rFonts w:eastAsiaTheme="minorEastAsia"/>
          <w:lang w:val="bs-Latn-BA" w:eastAsia="sr-Latn-RS"/>
        </w:rPr>
      </w:pPr>
      <w:r w:rsidRPr="00407C2F">
        <w:rPr>
          <w:rFonts w:eastAsiaTheme="minorEastAsia"/>
          <w:lang w:val="bs-Cyrl-BA" w:eastAsia="sr-Latn-RS"/>
        </w:rPr>
        <w:t xml:space="preserve">Потпис овлаштеног лица </w:t>
      </w:r>
    </w:p>
    <w:sectPr w:rsidR="00ED72F0" w:rsidRPr="00407C2F" w:rsidSect="00746278">
      <w:pgSz w:w="11906" w:h="16838"/>
      <w:pgMar w:top="1135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1B" w:rsidRDefault="002F141B" w:rsidP="00D22B2F">
      <w:r>
        <w:separator/>
      </w:r>
    </w:p>
  </w:endnote>
  <w:endnote w:type="continuationSeparator" w:id="0">
    <w:p w:rsidR="002F141B" w:rsidRDefault="002F141B" w:rsidP="00D2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1B" w:rsidRDefault="002F141B" w:rsidP="00D22B2F">
      <w:r>
        <w:separator/>
      </w:r>
    </w:p>
  </w:footnote>
  <w:footnote w:type="continuationSeparator" w:id="0">
    <w:p w:rsidR="002F141B" w:rsidRDefault="002F141B" w:rsidP="00D2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FB7"/>
    <w:multiLevelType w:val="hybridMultilevel"/>
    <w:tmpl w:val="D5B876F8"/>
    <w:lvl w:ilvl="0" w:tplc="33B40AA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23B"/>
    <w:multiLevelType w:val="hybridMultilevel"/>
    <w:tmpl w:val="297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4CC4"/>
    <w:multiLevelType w:val="hybridMultilevel"/>
    <w:tmpl w:val="9AB81CB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284C22EF"/>
    <w:multiLevelType w:val="hybridMultilevel"/>
    <w:tmpl w:val="A52C050A"/>
    <w:lvl w:ilvl="0" w:tplc="33B40AA6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C6295"/>
    <w:multiLevelType w:val="hybridMultilevel"/>
    <w:tmpl w:val="8BBAF592"/>
    <w:lvl w:ilvl="0" w:tplc="33B40AA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21914"/>
    <w:multiLevelType w:val="hybridMultilevel"/>
    <w:tmpl w:val="827A06BC"/>
    <w:lvl w:ilvl="0" w:tplc="33B40AA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272"/>
    <w:multiLevelType w:val="hybridMultilevel"/>
    <w:tmpl w:val="D74C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C55A0"/>
    <w:multiLevelType w:val="hybridMultilevel"/>
    <w:tmpl w:val="6004F9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22"/>
    <w:rsid w:val="00030F7C"/>
    <w:rsid w:val="000472E9"/>
    <w:rsid w:val="00085B38"/>
    <w:rsid w:val="00093DDE"/>
    <w:rsid w:val="000A66C8"/>
    <w:rsid w:val="000A7A6A"/>
    <w:rsid w:val="00124FA4"/>
    <w:rsid w:val="00133EF0"/>
    <w:rsid w:val="001377B6"/>
    <w:rsid w:val="00164311"/>
    <w:rsid w:val="0016532E"/>
    <w:rsid w:val="001B67FB"/>
    <w:rsid w:val="001C230E"/>
    <w:rsid w:val="001E2143"/>
    <w:rsid w:val="001E4CA4"/>
    <w:rsid w:val="002F141B"/>
    <w:rsid w:val="00357914"/>
    <w:rsid w:val="00363956"/>
    <w:rsid w:val="003C21EF"/>
    <w:rsid w:val="003C3922"/>
    <w:rsid w:val="00401DC2"/>
    <w:rsid w:val="00407C2F"/>
    <w:rsid w:val="004173E2"/>
    <w:rsid w:val="004566A5"/>
    <w:rsid w:val="004939D7"/>
    <w:rsid w:val="004941AA"/>
    <w:rsid w:val="004B6103"/>
    <w:rsid w:val="00501C2B"/>
    <w:rsid w:val="00503963"/>
    <w:rsid w:val="00516F03"/>
    <w:rsid w:val="00540B5E"/>
    <w:rsid w:val="00565E99"/>
    <w:rsid w:val="00577F3B"/>
    <w:rsid w:val="00580C65"/>
    <w:rsid w:val="00587616"/>
    <w:rsid w:val="005A6574"/>
    <w:rsid w:val="005C3B91"/>
    <w:rsid w:val="005E40FE"/>
    <w:rsid w:val="0062535E"/>
    <w:rsid w:val="00627A40"/>
    <w:rsid w:val="00642EB8"/>
    <w:rsid w:val="006456DE"/>
    <w:rsid w:val="00650720"/>
    <w:rsid w:val="0066239F"/>
    <w:rsid w:val="00685CC6"/>
    <w:rsid w:val="006C6BDA"/>
    <w:rsid w:val="006C709C"/>
    <w:rsid w:val="00746278"/>
    <w:rsid w:val="00746312"/>
    <w:rsid w:val="007A5B9C"/>
    <w:rsid w:val="007B737A"/>
    <w:rsid w:val="007D685C"/>
    <w:rsid w:val="007F6D00"/>
    <w:rsid w:val="00815734"/>
    <w:rsid w:val="0082284D"/>
    <w:rsid w:val="00827F30"/>
    <w:rsid w:val="00895CCB"/>
    <w:rsid w:val="008A105B"/>
    <w:rsid w:val="008F1F0D"/>
    <w:rsid w:val="008F4281"/>
    <w:rsid w:val="0090202C"/>
    <w:rsid w:val="0094420F"/>
    <w:rsid w:val="009A5721"/>
    <w:rsid w:val="009B117E"/>
    <w:rsid w:val="00A13B49"/>
    <w:rsid w:val="00A2349F"/>
    <w:rsid w:val="00A2789D"/>
    <w:rsid w:val="00A36C9E"/>
    <w:rsid w:val="00A62EBA"/>
    <w:rsid w:val="00AB0DBF"/>
    <w:rsid w:val="00B51CF8"/>
    <w:rsid w:val="00B52BDA"/>
    <w:rsid w:val="00B74543"/>
    <w:rsid w:val="00B84532"/>
    <w:rsid w:val="00BA561D"/>
    <w:rsid w:val="00BB20ED"/>
    <w:rsid w:val="00BB7019"/>
    <w:rsid w:val="00BC6327"/>
    <w:rsid w:val="00BE796D"/>
    <w:rsid w:val="00BF21F9"/>
    <w:rsid w:val="00BF7905"/>
    <w:rsid w:val="00C11FB3"/>
    <w:rsid w:val="00C608A3"/>
    <w:rsid w:val="00C85FC6"/>
    <w:rsid w:val="00C97635"/>
    <w:rsid w:val="00D22B2F"/>
    <w:rsid w:val="00D44B04"/>
    <w:rsid w:val="00D8367D"/>
    <w:rsid w:val="00D96FF9"/>
    <w:rsid w:val="00DD117E"/>
    <w:rsid w:val="00DD5507"/>
    <w:rsid w:val="00DE5171"/>
    <w:rsid w:val="00E018C4"/>
    <w:rsid w:val="00E11081"/>
    <w:rsid w:val="00EA2C7E"/>
    <w:rsid w:val="00ED72F0"/>
    <w:rsid w:val="00ED7F98"/>
    <w:rsid w:val="00EE7687"/>
    <w:rsid w:val="00EF75CE"/>
    <w:rsid w:val="00F20702"/>
    <w:rsid w:val="00F41823"/>
    <w:rsid w:val="00FD47AF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9BC7A50"/>
  <w15:docId w15:val="{38F34547-C3D6-4ED6-9053-9644440A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0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22"/>
    <w:pPr>
      <w:ind w:left="720"/>
      <w:contextualSpacing/>
    </w:pPr>
    <w:rPr>
      <w:color w:val="000000"/>
      <w:lang w:val="bs-Latn-BA" w:eastAsia="bs-Latn-BA"/>
    </w:rPr>
  </w:style>
  <w:style w:type="table" w:styleId="TableGrid">
    <w:name w:val="Table Grid"/>
    <w:basedOn w:val="TableNormal"/>
    <w:rsid w:val="003C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E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D22B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B2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22B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B2F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D4D5-E4A9-419C-9416-FBC30BAC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Pavlovic</dc:creator>
  <cp:lastModifiedBy>Gordana Milasinovic</cp:lastModifiedBy>
  <cp:revision>15</cp:revision>
  <cp:lastPrinted>2020-12-31T07:48:00Z</cp:lastPrinted>
  <dcterms:created xsi:type="dcterms:W3CDTF">2021-12-30T08:14:00Z</dcterms:created>
  <dcterms:modified xsi:type="dcterms:W3CDTF">2022-01-13T13:54:00Z</dcterms:modified>
</cp:coreProperties>
</file>