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2E" w:rsidRPr="0016532E" w:rsidRDefault="0016532E" w:rsidP="00ED7F98">
      <w:pPr>
        <w:spacing w:line="276" w:lineRule="auto"/>
        <w:jc w:val="left"/>
        <w:rPr>
          <w:rFonts w:eastAsiaTheme="minorEastAsia"/>
          <w:b/>
          <w:lang w:val="bs-Cyrl-BA" w:eastAsia="sr-Latn-RS"/>
        </w:rPr>
      </w:pPr>
      <w:bookmarkStart w:id="0" w:name="_GoBack"/>
      <w:bookmarkEnd w:id="0"/>
      <w:r w:rsidRPr="0016532E">
        <w:rPr>
          <w:rFonts w:eastAsiaTheme="minorEastAsia"/>
          <w:b/>
          <w:lang w:val="bs-Cyrl-BA" w:eastAsia="sr-Latn-RS"/>
        </w:rPr>
        <w:t>Образац 6</w:t>
      </w:r>
    </w:p>
    <w:p w:rsidR="0016532E" w:rsidRDefault="0016532E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 xml:space="preserve">Број протокола: 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                                                                    </w:t>
      </w: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>Датум:</w:t>
      </w:r>
      <w:r w:rsidRPr="00ED7F98">
        <w:rPr>
          <w:rFonts w:eastAsiaTheme="minorEastAsia"/>
          <w:lang w:val="bs-Latn-BA" w:eastAsia="sr-Latn-RS"/>
        </w:rPr>
        <w:t xml:space="preserve"> 00.00.0000.</w:t>
      </w:r>
      <w:r w:rsidRPr="00ED7F98">
        <w:rPr>
          <w:rFonts w:eastAsiaTheme="minorEastAsia"/>
          <w:lang w:val="bs-Cyrl-BA" w:eastAsia="sr-Latn-RS"/>
        </w:rPr>
        <w:t xml:space="preserve"> године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</w:t>
      </w:r>
    </w:p>
    <w:p w:rsidR="00ED7F98" w:rsidRDefault="00ED7F98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3C3922" w:rsidRPr="00133EF0" w:rsidRDefault="00DE5171" w:rsidP="00133EF0">
      <w:pPr>
        <w:jc w:val="center"/>
        <w:rPr>
          <w:b/>
          <w:noProof/>
          <w:color w:val="000000" w:themeColor="text1"/>
          <w:sz w:val="28"/>
          <w:szCs w:val="28"/>
          <w:lang w:val="sr-Cyrl-BA"/>
        </w:rPr>
      </w:pPr>
      <w:r>
        <w:rPr>
          <w:b/>
          <w:noProof/>
          <w:color w:val="000000" w:themeColor="text1"/>
          <w:sz w:val="28"/>
          <w:szCs w:val="28"/>
          <w:lang w:val="sr-Cyrl-BA"/>
        </w:rPr>
        <w:t>Извјештај</w:t>
      </w:r>
      <w:r>
        <w:rPr>
          <w:b/>
          <w:noProof/>
          <w:color w:val="000000" w:themeColor="text1"/>
          <w:sz w:val="28"/>
          <w:szCs w:val="28"/>
          <w:lang w:val="bs-Latn-BA"/>
        </w:rPr>
        <w:t xml:space="preserve"> </w:t>
      </w:r>
      <w:r w:rsidR="00587616">
        <w:rPr>
          <w:b/>
          <w:noProof/>
          <w:color w:val="000000" w:themeColor="text1"/>
          <w:sz w:val="28"/>
          <w:szCs w:val="28"/>
          <w:lang w:val="sr-Cyrl-RS"/>
        </w:rPr>
        <w:t>финансијске организације</w:t>
      </w:r>
      <w:r>
        <w:rPr>
          <w:b/>
          <w:noProof/>
          <w:color w:val="000000" w:themeColor="text1"/>
          <w:sz w:val="28"/>
          <w:szCs w:val="28"/>
          <w:lang w:val="sr-Cyrl-RS"/>
        </w:rPr>
        <w:t xml:space="preserve"> </w:t>
      </w:r>
      <w:r w:rsidR="00A13B49">
        <w:rPr>
          <w:b/>
          <w:noProof/>
          <w:color w:val="000000" w:themeColor="text1"/>
          <w:sz w:val="28"/>
          <w:szCs w:val="28"/>
          <w:lang w:val="sr-Cyrl-RS"/>
        </w:rPr>
        <w:t xml:space="preserve"> о испуњености</w:t>
      </w:r>
      <w:r w:rsidR="00124FA4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>критери</w:t>
      </w:r>
      <w:r w:rsidR="00A13B49">
        <w:rPr>
          <w:b/>
          <w:noProof/>
          <w:color w:val="000000" w:themeColor="text1"/>
          <w:sz w:val="28"/>
          <w:szCs w:val="28"/>
          <w:lang w:val="sr-Cyrl-BA"/>
        </w:rPr>
        <w:t>ја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 xml:space="preserve">за 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>укључења кредита у портфолио</w:t>
      </w:r>
    </w:p>
    <w:p w:rsidR="0016532E" w:rsidRDefault="0016532E" w:rsidP="00746278">
      <w:pPr>
        <w:rPr>
          <w:b/>
          <w:noProof/>
          <w:sz w:val="32"/>
          <w:lang w:val="sr-Cyrl-BA"/>
        </w:rPr>
      </w:pPr>
    </w:p>
    <w:p w:rsidR="003C3922" w:rsidRPr="003C3922" w:rsidRDefault="003C3922" w:rsidP="003C3922">
      <w:pPr>
        <w:jc w:val="left"/>
        <w:rPr>
          <w:noProof/>
          <w:lang w:val="sr-Cyrl-BA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993"/>
        <w:gridCol w:w="992"/>
        <w:gridCol w:w="1276"/>
        <w:gridCol w:w="1559"/>
        <w:gridCol w:w="1417"/>
      </w:tblGrid>
      <w:tr w:rsidR="003C3922" w:rsidTr="00B52BDA">
        <w:trPr>
          <w:trHeight w:val="52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Pr="003C3922" w:rsidRDefault="003C3922">
            <w:pPr>
              <w:rPr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кредита</w:t>
            </w:r>
          </w:p>
        </w:tc>
        <w:tc>
          <w:tcPr>
            <w:tcW w:w="75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Default="003C3922">
            <w:pPr>
              <w:jc w:val="left"/>
              <w:rPr>
                <w:noProof/>
                <w:lang w:val="sr-Latn-RS"/>
              </w:rPr>
            </w:pPr>
          </w:p>
        </w:tc>
      </w:tr>
      <w:tr w:rsidR="00D8367D" w:rsidTr="00093DDE">
        <w:trPr>
          <w:trHeight w:val="82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67D" w:rsidRPr="00E018C4" w:rsidRDefault="00D8367D" w:rsidP="00D8367D">
            <w:p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Корисници кредита обезбијеђеног гаранцијом из Гарантног програма </w:t>
            </w:r>
            <w:r w:rsidRPr="00E018C4">
              <w:rPr>
                <w:b/>
                <w:noProof/>
                <w:sz w:val="20"/>
                <w:szCs w:val="20"/>
                <w:u w:val="single"/>
                <w:lang w:val="sr-Cyrl-RS"/>
              </w:rPr>
              <w:t>не могу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бити: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у ста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тусу неизмирења обавеза према п</w:t>
            </w:r>
            <w:r w:rsidRPr="00E018C4">
              <w:rPr>
                <w:noProof/>
                <w:sz w:val="20"/>
                <w:szCs w:val="20"/>
                <w:lang w:val="sr-Cyrl-RS"/>
              </w:rPr>
              <w:t>р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описима Агенције за банкар</w:t>
            </w:r>
            <w:r w:rsidRPr="00E018C4">
              <w:rPr>
                <w:noProof/>
                <w:sz w:val="20"/>
                <w:szCs w:val="20"/>
                <w:lang w:val="sr-Cyrl-RS"/>
              </w:rPr>
              <w:t>с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во Републике Српске на дан 16.03.2020. године;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имају доспјеле</w:t>
            </w:r>
            <w:r w:rsidR="00C11FB3">
              <w:rPr>
                <w:noProof/>
                <w:sz w:val="20"/>
                <w:szCs w:val="20"/>
              </w:rPr>
              <w:t>,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а неизмирене обавезе по основу пореза у Републици Српској, </w:t>
            </w:r>
            <w:r w:rsidR="00164311">
              <w:rPr>
                <w:noProof/>
                <w:sz w:val="20"/>
                <w:szCs w:val="20"/>
                <w:lang w:val="sr-Cyrl-RS"/>
              </w:rPr>
              <w:t>у складу са пореским прописима</w:t>
            </w:r>
            <w:r w:rsidR="00164311">
              <w:rPr>
                <w:noProof/>
                <w:sz w:val="20"/>
                <w:szCs w:val="20"/>
              </w:rPr>
              <w:t xml:space="preserve"> </w:t>
            </w:r>
            <w:r w:rsidR="00164311">
              <w:rPr>
                <w:noProof/>
                <w:sz w:val="20"/>
                <w:szCs w:val="20"/>
                <w:lang w:val="sr-Cyrl-RS"/>
              </w:rPr>
              <w:t xml:space="preserve">Републике Српске, искључујући привредне субјекте који те обавезе према Пореској управи Републике Српске измирују средствима кредита обезбијеђеног гаранцијом Гарантног програма;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који Агенцији за посредничке, информатичке и финансијске обавезе нису доставили финансијске извјештаје за 2019. годину, а били су дужни да то ураде у складу са прописима; </w:t>
            </w:r>
          </w:p>
          <w:p w:rsidR="00D8367D" w:rsidRPr="00E018C4" w:rsidRDefault="00C11FB3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јавна предузећа, у складу са З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 xml:space="preserve">аконом о јавним предузећима;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финансијске организације банкарског с</w:t>
            </w:r>
            <w:r w:rsidR="00746278">
              <w:rPr>
                <w:noProof/>
                <w:sz w:val="20"/>
                <w:szCs w:val="20"/>
                <w:lang w:val="sr-Cyrl-RS"/>
              </w:rPr>
              <w:t>истема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Републике Српске и други субјекти који обављају финансијске дјелатности и дјелатности осигурања у складу са прописима о класификацији дјелатности у Републици Српској;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се баве приређивањем игара на срећу, производњом и прометом оружја, те примарно производњом, извозом</w:t>
            </w:r>
            <w:r w:rsidR="00746278">
              <w:rPr>
                <w:noProof/>
                <w:sz w:val="20"/>
                <w:szCs w:val="20"/>
                <w:lang w:val="sr-Cyrl-RS"/>
              </w:rPr>
              <w:t xml:space="preserve"> и продајом цигарета и јаких ал</w:t>
            </w:r>
            <w:r w:rsidRPr="00E018C4">
              <w:rPr>
                <w:noProof/>
                <w:sz w:val="20"/>
                <w:szCs w:val="20"/>
                <w:lang w:val="sr-Cyrl-RS"/>
              </w:rPr>
              <w:t>ко</w:t>
            </w:r>
            <w:r w:rsidR="00746278">
              <w:rPr>
                <w:noProof/>
                <w:sz w:val="20"/>
                <w:szCs w:val="20"/>
                <w:lang w:val="sr-Cyrl-RS"/>
              </w:rPr>
              <w:t>хо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лних пића;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над којима се спроводи поступак реструктуирања у складу са законом којим се 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 xml:space="preserve">уређује 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стечај или који су у поступку ликвидације; </w:t>
            </w:r>
          </w:p>
          <w:p w:rsidR="00D8367D" w:rsidRPr="00D8367D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већ корисници кредита обезб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и</w:t>
            </w:r>
            <w:r w:rsidRPr="00E018C4">
              <w:rPr>
                <w:noProof/>
                <w:sz w:val="20"/>
                <w:szCs w:val="20"/>
                <w:lang w:val="sr-Cyrl-RS"/>
              </w:rPr>
              <w:t>јеђеног гаранцијом из Гарантног програма</w:t>
            </w:r>
          </w:p>
        </w:tc>
      </w:tr>
      <w:tr w:rsidR="000A7A6A" w:rsidTr="00B52BDA">
        <w:trPr>
          <w:trHeight w:val="53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Pr="000A7A6A" w:rsidRDefault="004173E2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гаранције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Default="000A7A6A">
            <w:pPr>
              <w:jc w:val="left"/>
              <w:rPr>
                <w:noProof/>
                <w:lang w:val="sr-Latn-RS"/>
              </w:rPr>
            </w:pPr>
          </w:p>
        </w:tc>
      </w:tr>
      <w:tr w:rsidR="007A5B9C" w:rsidTr="00093DDE">
        <w:trPr>
          <w:trHeight w:val="6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B9C" w:rsidRPr="00E018C4" w:rsidRDefault="007A5B9C" w:rsidP="007A5B9C">
            <w:pPr>
              <w:rPr>
                <w:noProof/>
                <w:sz w:val="20"/>
                <w:szCs w:val="20"/>
                <w:lang w:val="sr-Latn-RS"/>
              </w:rPr>
            </w:pPr>
            <w:r w:rsidRPr="00E018C4">
              <w:rPr>
                <w:noProof/>
                <w:sz w:val="20"/>
                <w:szCs w:val="20"/>
                <w:lang w:val="sr-Cyrl-BA"/>
              </w:rPr>
              <w:t xml:space="preserve">Корисници гаранције </w:t>
            </w:r>
            <w:r w:rsidRPr="00E018C4">
              <w:rPr>
                <w:b/>
                <w:noProof/>
                <w:sz w:val="20"/>
                <w:szCs w:val="20"/>
                <w:lang w:val="sr-Cyrl-BA"/>
              </w:rPr>
              <w:t>могу бити</w:t>
            </w:r>
            <w:r w:rsidRPr="00E018C4">
              <w:rPr>
                <w:noProof/>
                <w:sz w:val="20"/>
                <w:szCs w:val="20"/>
                <w:lang w:val="sr-Cyrl-BA"/>
              </w:rPr>
              <w:t xml:space="preserve"> банке и микрокредитне организације са сједиштем у Републици Српској, које имају дозволу за рад Агенције за банкарство Републике Српске, као и банке и микрокредитне организације које у Републици Српској послују посредством филијала, уз одобрење Агенције за банкарство Републике Српске. </w:t>
            </w:r>
          </w:p>
        </w:tc>
      </w:tr>
      <w:tr w:rsidR="00093DDE" w:rsidTr="00B52BDA">
        <w:trPr>
          <w:trHeight w:val="10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3EF0" w:rsidRPr="00E11081" w:rsidRDefault="00133EF0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Износ кредита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F0" w:rsidRDefault="00133EF0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33EF0" w:rsidRDefault="00B52BDA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предузетници и регистрована пољопривредна газдинства</w:t>
            </w:r>
            <w:r w:rsidR="006C709C">
              <w:rPr>
                <w:noProof/>
                <w:lang w:val="sr-Cyrl-RS"/>
              </w:rPr>
              <w:t xml:space="preserve">  ≤ 5</w:t>
            </w:r>
            <w:r w:rsidR="00133EF0">
              <w:rPr>
                <w:noProof/>
                <w:lang w:val="sr-Cyrl-RS"/>
              </w:rPr>
              <w:t>0.000,00 КМ</w:t>
            </w:r>
          </w:p>
          <w:p w:rsidR="00B52BDA" w:rsidRPr="00B52BDA" w:rsidRDefault="00B52BDA" w:rsidP="00B52BDA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микро предузеће  ≤ 50.000,00 КМ</w:t>
            </w:r>
          </w:p>
          <w:p w:rsidR="00133EF0" w:rsidRPr="00133EF0" w:rsidRDefault="006C709C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мало предузеће ≤ 2</w:t>
            </w:r>
            <w:r w:rsidR="00133EF0">
              <w:rPr>
                <w:noProof/>
                <w:lang w:val="sr-Cyrl-RS"/>
              </w:rPr>
              <w:t>00.000,00 КМ</w:t>
            </w:r>
          </w:p>
          <w:p w:rsidR="00133EF0" w:rsidRPr="00133EF0" w:rsidRDefault="006C709C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средње предузеће ≤ 400</w:t>
            </w:r>
            <w:r w:rsidR="00133EF0">
              <w:rPr>
                <w:noProof/>
                <w:lang w:val="sr-Cyrl-RS"/>
              </w:rPr>
              <w:t>.000,00 КМ</w:t>
            </w:r>
          </w:p>
        </w:tc>
      </w:tr>
      <w:tr w:rsidR="005A6574" w:rsidTr="00B52BDA">
        <w:trPr>
          <w:trHeight w:val="66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574" w:rsidRDefault="005A6574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Износ гаранције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6574" w:rsidRDefault="005A6574">
            <w:pPr>
              <w:jc w:val="left"/>
              <w:rPr>
                <w:noProof/>
                <w:lang w:val="sr-Latn-RS"/>
              </w:rPr>
            </w:pPr>
          </w:p>
        </w:tc>
      </w:tr>
      <w:tr w:rsidR="00401DC2" w:rsidTr="00FE7CCD">
        <w:trPr>
          <w:trHeight w:val="38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DC2" w:rsidRPr="00401DC2" w:rsidRDefault="00401DC2" w:rsidP="00401DC2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Гаранције издате у складу са Гарантним програмом обезбјеђују највише до 70% износа главнице кредита одобреног привредном субјекту (стопа покрића). </w:t>
            </w:r>
          </w:p>
        </w:tc>
      </w:tr>
      <w:tr w:rsidR="00577F3B" w:rsidTr="00B52BDA">
        <w:trPr>
          <w:trHeight w:val="419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BA"/>
              </w:rPr>
              <w:t>Рок отплате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1DC2" w:rsidRDefault="006C709C" w:rsidP="00AB0DBF">
            <w:pPr>
              <w:rPr>
                <w:noProof/>
                <w:sz w:val="20"/>
                <w:szCs w:val="20"/>
                <w:lang w:val="sr-Latn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Максималан рок отплате кр</w:t>
            </w:r>
            <w:r w:rsidR="00AB0DBF">
              <w:rPr>
                <w:noProof/>
                <w:sz w:val="20"/>
                <w:szCs w:val="20"/>
                <w:lang w:val="sr-Cyrl-RS"/>
              </w:rPr>
              <w:t>е</w:t>
            </w:r>
            <w:r>
              <w:rPr>
                <w:noProof/>
                <w:sz w:val="20"/>
                <w:szCs w:val="20"/>
                <w:lang w:val="sr-Cyrl-RS"/>
              </w:rPr>
              <w:t xml:space="preserve">дита </w:t>
            </w:r>
            <w:r w:rsidR="00815734" w:rsidRPr="00401DC2">
              <w:rPr>
                <w:noProof/>
                <w:sz w:val="20"/>
                <w:szCs w:val="20"/>
                <w:lang w:val="sr-Cyrl-RS"/>
              </w:rPr>
              <w:t>је</w:t>
            </w:r>
            <w:r>
              <w:rPr>
                <w:noProof/>
                <w:sz w:val="20"/>
                <w:szCs w:val="20"/>
                <w:lang w:val="sr-Cyrl-RS"/>
              </w:rPr>
              <w:t xml:space="preserve"> 7 (седам)</w:t>
            </w:r>
            <w:r w:rsidR="00AB0DBF">
              <w:rPr>
                <w:noProof/>
                <w:sz w:val="20"/>
                <w:szCs w:val="20"/>
                <w:lang w:val="sr-Cyrl-RS"/>
              </w:rPr>
              <w:t xml:space="preserve"> година</w:t>
            </w:r>
            <w:r w:rsidR="00895CCB" w:rsidRPr="00401DC2">
              <w:rPr>
                <w:noProof/>
                <w:sz w:val="20"/>
                <w:szCs w:val="20"/>
                <w:lang w:val="sr-Cyrl-RS"/>
              </w:rPr>
              <w:t xml:space="preserve"> укључујући грејс период</w:t>
            </w:r>
            <w:r w:rsidR="00C11FB3">
              <w:rPr>
                <w:noProof/>
                <w:sz w:val="20"/>
                <w:szCs w:val="20"/>
                <w:lang w:val="sr-Cyrl-RS"/>
              </w:rPr>
              <w:t>, изузев к</w:t>
            </w:r>
            <w:r w:rsidR="00AB0DBF">
              <w:rPr>
                <w:noProof/>
                <w:sz w:val="20"/>
                <w:szCs w:val="20"/>
                <w:lang w:val="sr-Cyrl-RS"/>
              </w:rPr>
              <w:t>ад</w:t>
            </w:r>
            <w:r w:rsidR="00C11FB3">
              <w:rPr>
                <w:noProof/>
                <w:sz w:val="20"/>
                <w:szCs w:val="20"/>
                <w:lang w:val="sr-Cyrl-RS"/>
              </w:rPr>
              <w:t xml:space="preserve"> је намјена кредита рефинансирање. У том случају, максималан рок отплате је 5 година.</w:t>
            </w:r>
          </w:p>
        </w:tc>
      </w:tr>
      <w:tr w:rsidR="00577F3B" w:rsidTr="00B52BDA">
        <w:trPr>
          <w:trHeight w:val="40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577F3B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Грејс период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7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746278" w:rsidRDefault="00815734" w:rsidP="00DD117E">
            <w:pPr>
              <w:rPr>
                <w:noProof/>
                <w:sz w:val="20"/>
                <w:szCs w:val="20"/>
                <w:lang w:val="sr-Latn-RS"/>
              </w:rPr>
            </w:pPr>
            <w:r w:rsidRPr="00746278">
              <w:rPr>
                <w:noProof/>
                <w:sz w:val="20"/>
                <w:szCs w:val="20"/>
                <w:lang w:val="sr-Cyrl-BA"/>
              </w:rPr>
              <w:t>Г</w:t>
            </w:r>
            <w:r w:rsidR="00895CCB" w:rsidRPr="00746278">
              <w:rPr>
                <w:noProof/>
                <w:sz w:val="20"/>
                <w:szCs w:val="20"/>
                <w:lang w:val="sr-Cyrl-BA"/>
              </w:rPr>
              <w:t xml:space="preserve">рејс период мора да се налази у интервалу од три (3) до дванаест (12) мјесеци </w:t>
            </w:r>
          </w:p>
        </w:tc>
      </w:tr>
      <w:tr w:rsidR="00895CCB" w:rsidTr="00746278">
        <w:trPr>
          <w:trHeight w:val="93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Каматна стопа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64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Pr="00401DC2" w:rsidRDefault="00DD117E" w:rsidP="00DD117E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Каматну стопу утврђује финансијска организација у складу са властитом кр</w:t>
            </w:r>
            <w:r w:rsidR="006C6BDA" w:rsidRPr="00401DC2">
              <w:rPr>
                <w:noProof/>
                <w:sz w:val="20"/>
                <w:szCs w:val="20"/>
                <w:lang w:val="sr-Cyrl-RS"/>
              </w:rPr>
              <w:t>едитним политиком, највише до ка</w:t>
            </w:r>
            <w:r w:rsidRPr="00401DC2">
              <w:rPr>
                <w:noProof/>
                <w:sz w:val="20"/>
                <w:szCs w:val="20"/>
                <w:lang w:val="sr-Cyrl-RS"/>
              </w:rPr>
              <w:t xml:space="preserve">матне стопе утврђене у спроведеном поступку јавног позива за исказивање интереса за учешће у Гарантном програму. </w:t>
            </w:r>
          </w:p>
        </w:tc>
      </w:tr>
      <w:tr w:rsidR="00577F3B" w:rsidTr="00B52BDA">
        <w:trPr>
          <w:trHeight w:val="48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0472E9" w:rsidRDefault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Датум Уговора о кредиту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577F3B" w:rsidTr="00B52BDA">
        <w:trPr>
          <w:trHeight w:val="854"/>
        </w:trPr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noProof/>
                <w:lang w:val="sr-Cyrl-RS"/>
              </w:rPr>
            </w:pPr>
            <w:r w:rsidRPr="008F4281">
              <w:rPr>
                <w:noProof/>
                <w:color w:val="000000" w:themeColor="text1"/>
                <w:lang w:val="sr-Cyrl-BA"/>
              </w:rPr>
              <w:t xml:space="preserve">Да ли је </w:t>
            </w:r>
            <w:r w:rsidR="00401DC2">
              <w:rPr>
                <w:noProof/>
                <w:color w:val="000000" w:themeColor="text1"/>
                <w:lang w:val="sr-Cyrl-BA"/>
              </w:rPr>
              <w:t>Уговор о кредиту</w:t>
            </w:r>
            <w:r w:rsidRPr="008F4281">
              <w:rPr>
                <w:noProof/>
                <w:color w:val="000000" w:themeColor="text1"/>
                <w:lang w:val="sr-Cyrl-BA"/>
              </w:rPr>
              <w:t xml:space="preserve"> закључен за ври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јеме трајања Гарантног програма, </w:t>
            </w:r>
            <w:r w:rsidR="006C709C">
              <w:rPr>
                <w:noProof/>
                <w:color w:val="000000" w:themeColor="text1"/>
                <w:lang w:val="sr-Cyrl-BA"/>
              </w:rPr>
              <w:t>а који се спроводи до 31.12.2021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. године? </w:t>
            </w:r>
          </w:p>
        </w:tc>
        <w:tc>
          <w:tcPr>
            <w:tcW w:w="623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1E2143" w:rsidP="001E214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0472E9" w:rsidTr="00C85FC6">
        <w:trPr>
          <w:trHeight w:val="456"/>
        </w:trPr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 w:rsidP="000472E9">
            <w:pPr>
              <w:jc w:val="left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Намјена кредита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Pr="0094420F" w:rsidRDefault="000472E9" w:rsidP="000472E9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финансирање основне дјелатности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Pr="0094420F" w:rsidRDefault="000472E9" w:rsidP="00642EB8">
            <w:pPr>
              <w:jc w:val="center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Да        </w:t>
            </w: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Не</w:t>
            </w:r>
          </w:p>
        </w:tc>
      </w:tr>
      <w:tr w:rsidR="00C85FC6" w:rsidTr="00C85FC6">
        <w:trPr>
          <w:trHeight w:val="156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5FC6" w:rsidRDefault="00C85FC6" w:rsidP="000472E9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5FC6" w:rsidRPr="000472E9" w:rsidRDefault="00C85FC6" w:rsidP="00C85FC6">
            <w:pPr>
              <w:pStyle w:val="ListParagraph"/>
              <w:ind w:left="317"/>
              <w:jc w:val="left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0472E9" w:rsidRDefault="00C85FC6" w:rsidP="00A62EB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Износ у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0472E9" w:rsidRDefault="00C85FC6" w:rsidP="00A62EB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% у односу на кредит</w:t>
            </w:r>
          </w:p>
        </w:tc>
      </w:tr>
      <w:tr w:rsidR="00C85FC6" w:rsidTr="00C85FC6">
        <w:trPr>
          <w:trHeight w:val="50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C85FC6" w:rsidRDefault="00C85FC6" w:rsidP="00C85FC6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noProof/>
                <w:lang w:val="sr-Cyrl-RS"/>
              </w:rPr>
            </w:pPr>
            <w:r w:rsidRPr="00C85FC6">
              <w:rPr>
                <w:noProof/>
                <w:lang w:val="sr-Cyrl-RS"/>
              </w:rPr>
              <w:t>одржавање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6" w:rsidRDefault="00C85FC6" w:rsidP="00A62EBA">
            <w:pPr>
              <w:jc w:val="left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FC6" w:rsidRDefault="00C85FC6" w:rsidP="00A62EBA">
            <w:pPr>
              <w:jc w:val="left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388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обртна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инвестициони  трошкови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C85FC6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рефинансирање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DD5507" w:rsidTr="00746278">
        <w:trPr>
          <w:trHeight w:val="6145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pStyle w:val="ListParagraph"/>
              <w:ind w:left="33"/>
              <w:jc w:val="left"/>
              <w:rPr>
                <w:noProof/>
                <w:sz w:val="20"/>
                <w:szCs w:val="20"/>
                <w:lang w:val="sr-Cyrl-RS"/>
              </w:rPr>
            </w:pPr>
            <w:r w:rsidRPr="00540B5E">
              <w:rPr>
                <w:noProof/>
                <w:sz w:val="20"/>
                <w:szCs w:val="20"/>
                <w:lang w:val="sr-Cyrl-RS"/>
              </w:rPr>
              <w:t xml:space="preserve">Нови кредити се могу одобрити за намјену рефинансирања ако су кумулативно испуњени сљедећи услови: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промјена првобитног уговора узрокована је текућим потребама привредног субјекта усљед утицаја пандемије болести </w:t>
            </w:r>
            <w:r>
              <w:rPr>
                <w:noProof/>
                <w:sz w:val="20"/>
                <w:szCs w:val="20"/>
              </w:rPr>
              <w:t>„COVID 19“</w:t>
            </w:r>
            <w:r>
              <w:rPr>
                <w:noProof/>
                <w:sz w:val="20"/>
                <w:szCs w:val="20"/>
                <w:lang w:val="sr-Cyrl-RS"/>
              </w:rPr>
              <w:t xml:space="preserve"> на његово пословање;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накнадно договорени услови кредитирања у оквиру Гарантног програма повољнији су за корисника кредита у односу на провобитно уговорене;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кредит који је предмет рефинансирања није у статусу неизмирења обавеза према прописима Агенције за банкарство Републике Српске на дан закључења уговора о новом кредиту</w:t>
            </w:r>
          </w:p>
          <w:p w:rsidR="00DD5507" w:rsidRPr="00746278" w:rsidRDefault="00DD5507" w:rsidP="00746278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DD5507" w:rsidTr="00746278">
        <w:trPr>
          <w:trHeight w:val="1417"/>
        </w:trPr>
        <w:tc>
          <w:tcPr>
            <w:tcW w:w="39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94420F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Образложење намјене кредита: </w:t>
            </w:r>
          </w:p>
        </w:tc>
      </w:tr>
      <w:tr w:rsidR="00DD5507" w:rsidTr="00746278">
        <w:trPr>
          <w:trHeight w:val="1562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278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Инструменти обезбјеђења</w:t>
            </w:r>
          </w:p>
          <w:p w:rsidR="00746278" w:rsidRDefault="00746278" w:rsidP="00746278">
            <w:pPr>
              <w:rPr>
                <w:lang w:val="sr-Cyrl-BA"/>
              </w:rPr>
            </w:pPr>
          </w:p>
          <w:p w:rsidR="00DD5507" w:rsidRPr="00746278" w:rsidRDefault="00DD5507" w:rsidP="00746278">
            <w:pPr>
              <w:rPr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746278" w:rsidRDefault="00DD5507" w:rsidP="00DD5507">
            <w:pPr>
              <w:jc w:val="left"/>
              <w:rPr>
                <w:noProof/>
                <w:lang w:val="sr-Cyrl-RS"/>
              </w:rPr>
            </w:pPr>
          </w:p>
        </w:tc>
      </w:tr>
      <w:tr w:rsidR="00DD5507" w:rsidTr="00401DC2">
        <w:trPr>
          <w:trHeight w:val="71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1DC2" w:rsidRDefault="00DD5507" w:rsidP="00DD5507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Инструменте обезбјеђења поред  гаранције издате у оквиру Гарантног програма, самостално утврђује финансијска организација, а најмање прописан инструмент обезбјеђења је мјеница корисника кредита и његовог већинског власника. </w:t>
            </w:r>
          </w:p>
        </w:tc>
      </w:tr>
      <w:tr w:rsidR="00DD5507" w:rsidTr="00093DDE">
        <w:trPr>
          <w:trHeight w:val="546"/>
        </w:trPr>
        <w:tc>
          <w:tcPr>
            <w:tcW w:w="595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D5507" w:rsidRPr="00642EB8" w:rsidRDefault="00DD5507" w:rsidP="00DD5507">
            <w:pPr>
              <w:jc w:val="left"/>
              <w:rPr>
                <w:b/>
                <w:noProof/>
                <w:lang w:val="sr-Cyrl-BA"/>
              </w:rPr>
            </w:pPr>
            <w:r w:rsidRPr="00BC6327">
              <w:rPr>
                <w:b/>
                <w:noProof/>
                <w:lang w:val="sr-Cyrl-BA"/>
              </w:rPr>
              <w:t>Да ли је корисник кредита био у финансијск</w:t>
            </w:r>
            <w:r>
              <w:rPr>
                <w:b/>
                <w:noProof/>
                <w:lang w:val="sr-Cyrl-BA"/>
              </w:rPr>
              <w:t>им потешкоћама на дан 31.12.2019</w:t>
            </w:r>
            <w:r w:rsidRPr="00BC6327">
              <w:rPr>
                <w:b/>
                <w:noProof/>
                <w:lang w:val="sr-Cyrl-BA"/>
              </w:rPr>
              <w:t xml:space="preserve">. године? 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90202C" w:rsidRDefault="00DD5507" w:rsidP="00DD5507">
            <w:pPr>
              <w:ind w:left="1026" w:hanging="644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                  </w:t>
            </w:r>
          </w:p>
        </w:tc>
      </w:tr>
      <w:tr w:rsidR="00DD5507" w:rsidTr="00A2789D">
        <w:trPr>
          <w:trHeight w:val="2389"/>
        </w:trPr>
        <w:tc>
          <w:tcPr>
            <w:tcW w:w="595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9B117E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>
              <w:rPr>
                <w:noProof/>
                <w:lang w:val="sr-Cyrl-RS"/>
              </w:rPr>
              <w:tab/>
              <w:t xml:space="preserve">Финансијски извјештај на дан 31.12.2019. </w:t>
            </w:r>
          </w:p>
          <w:p w:rsidR="00DD5507" w:rsidRPr="009B117E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</w:t>
            </w:r>
            <w:r>
              <w:rPr>
                <w:noProof/>
                <w:lang w:val="sr-Cyrl-RS"/>
              </w:rPr>
              <w:tab/>
              <w:t xml:space="preserve">Извјештај о текућим задужењима привредног субјекта на дан 31.12.2019. </w:t>
            </w:r>
          </w:p>
          <w:p w:rsidR="00DD5507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 w:rsidRPr="009B117E">
              <w:rPr>
                <w:noProof/>
                <w:lang w:val="sr-Cyrl-RS"/>
              </w:rPr>
              <w:tab/>
            </w:r>
            <w:r>
              <w:rPr>
                <w:noProof/>
                <w:lang w:val="sr-Cyrl-RS"/>
              </w:rPr>
              <w:t xml:space="preserve">Увјерење о измиреним пореским обавезама </w:t>
            </w:r>
          </w:p>
        </w:tc>
      </w:tr>
      <w:tr w:rsidR="00DD5507" w:rsidTr="00093DDE">
        <w:trPr>
          <w:trHeight w:val="855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941AA" w:rsidRDefault="00DD5507" w:rsidP="00DD5507">
            <w:pPr>
              <w:rPr>
                <w:noProof/>
                <w:lang w:val="sr-Cyrl-RS"/>
              </w:rPr>
            </w:pPr>
            <w:r w:rsidRPr="0062535E">
              <w:rPr>
                <w:b/>
                <w:noProof/>
                <w:lang w:val="sr-Cyrl-BA"/>
              </w:rPr>
              <w:t>Да ли корисник кредита има повезана лица која су изложена Гарантном програму подршке привреди?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Да                       </w:t>
            </w: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4B6103">
        <w:trPr>
          <w:trHeight w:val="1355"/>
        </w:trPr>
        <w:tc>
          <w:tcPr>
            <w:tcW w:w="59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62535E" w:rsidRDefault="00DD5507" w:rsidP="00DD5507">
            <w:pPr>
              <w:rPr>
                <w:b/>
                <w:noProof/>
                <w:color w:val="FF0000"/>
                <w:lang w:val="sr-Cyrl-BA"/>
              </w:rPr>
            </w:pPr>
            <w:r w:rsidRPr="0062535E">
              <w:rPr>
                <w:b/>
                <w:noProof/>
                <w:lang w:val="sr-Cyrl-BA"/>
              </w:rPr>
              <w:t>Уколико има</w:t>
            </w:r>
            <w:r w:rsidR="00746278">
              <w:rPr>
                <w:b/>
                <w:noProof/>
                <w:lang w:val="sr-Cyrl-BA"/>
              </w:rPr>
              <w:t>,</w:t>
            </w:r>
            <w:r w:rsidRPr="0062535E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навести која су и колика је њихова изложеност у односу на уговорени волумен портфолија финансијске организације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ind w:left="360"/>
              <w:jc w:val="left"/>
              <w:rPr>
                <w:noProof/>
                <w:lang w:val="sr-Cyrl-RS"/>
              </w:rPr>
            </w:pPr>
          </w:p>
        </w:tc>
      </w:tr>
      <w:tr w:rsidR="00DD5507" w:rsidTr="00401DC2">
        <w:trPr>
          <w:trHeight w:val="54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1DC2" w:rsidRDefault="00DD5507" w:rsidP="00DD5507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Укупна концентрација (излагање) према једном или групи повезаних привредних субјеката не може бити већа од 3% највишег волумена портфолија уговореног са финансијском организацијом.</w:t>
            </w:r>
          </w:p>
        </w:tc>
      </w:tr>
      <w:tr w:rsidR="00DD5507" w:rsidTr="00093DDE">
        <w:trPr>
          <w:trHeight w:val="1801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Да ли је корисник кредита доставио финансијској организацији документацију у складу с чланом </w:t>
            </w:r>
            <w:r>
              <w:rPr>
                <w:b/>
                <w:noProof/>
                <w:lang w:val="bs-Latn-BA"/>
              </w:rPr>
              <w:t xml:space="preserve">X </w:t>
            </w:r>
            <w:r>
              <w:rPr>
                <w:b/>
                <w:noProof/>
                <w:lang w:val="sr-Cyrl-RS"/>
              </w:rPr>
              <w:t>подтачком 3.</w:t>
            </w:r>
            <w:r w:rsidRPr="001E2143">
              <w:rPr>
                <w:b/>
                <w:noProof/>
                <w:lang w:val="sr-Cyrl-RS"/>
              </w:rPr>
              <w:t xml:space="preserve"> Одлуке </w:t>
            </w:r>
            <w:r w:rsidRPr="001E2143">
              <w:rPr>
                <w:b/>
                <w:noProof/>
                <w:lang w:val="sr-Cyrl-BA"/>
              </w:rPr>
              <w:t>о гар</w:t>
            </w:r>
            <w:r>
              <w:rPr>
                <w:b/>
                <w:noProof/>
                <w:lang w:val="sr-Cyrl-BA"/>
              </w:rPr>
              <w:t>антном програму подршке привред</w:t>
            </w:r>
            <w:r w:rsidRPr="001E2143">
              <w:rPr>
                <w:b/>
                <w:noProof/>
                <w:lang w:val="sr-Cyrl-BA"/>
              </w:rPr>
              <w:t xml:space="preserve">и за ублажавање посљедица пандемије болести </w:t>
            </w:r>
            <w:r w:rsidRPr="001E2143">
              <w:rPr>
                <w:b/>
                <w:lang w:val="sr-Cyrl-RS"/>
              </w:rPr>
              <w:t>„</w:t>
            </w:r>
            <w:r w:rsidRPr="001E2143">
              <w:rPr>
                <w:b/>
              </w:rPr>
              <w:t>COVID-19“</w:t>
            </w:r>
            <w:r w:rsidRPr="001E2143">
              <w:rPr>
                <w:b/>
                <w:lang w:val="sr-Cyrl-RS"/>
              </w:rPr>
              <w:t>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BB7019">
        <w:trPr>
          <w:trHeight w:val="837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Да ли је корисник кредита испоштовао уговорне обавезе из Гарантног програма подршке привредним субјектима?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4939D7">
        <w:trPr>
          <w:trHeight w:val="850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507" w:rsidRPr="00401DC2" w:rsidRDefault="00DD5507" w:rsidP="00DD5507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Уговором о кредиту укљученог у портфолио, корисник кредита се обавезује да: </w:t>
            </w:r>
          </w:p>
          <w:p w:rsidR="00DD5507" w:rsidRPr="00401DC2" w:rsidRDefault="00DD5507" w:rsidP="00DD5507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неће аплицирати за нови кредит из Гарантног програма, ако је већ корисник кредита обезбијеђеног га</w:t>
            </w:r>
            <w:r>
              <w:rPr>
                <w:noProof/>
                <w:sz w:val="20"/>
                <w:szCs w:val="20"/>
                <w:lang w:val="sr-Cyrl-RS"/>
              </w:rPr>
              <w:t>ранцијом из Гарантног програма</w:t>
            </w:r>
            <w:r w:rsidRPr="00401DC2">
              <w:rPr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DD5507" w:rsidRPr="004939D7" w:rsidRDefault="00DD5507" w:rsidP="00DD5507">
            <w:pPr>
              <w:rPr>
                <w:b/>
                <w:noProof/>
                <w:lang w:val="sr-Cyrl-RS"/>
              </w:rPr>
            </w:pPr>
          </w:p>
        </w:tc>
      </w:tr>
      <w:tr w:rsidR="00DD5507" w:rsidTr="004B6103">
        <w:trPr>
          <w:trHeight w:val="83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507" w:rsidRPr="00642EB8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642EB8">
              <w:rPr>
                <w:b/>
                <w:noProof/>
                <w:lang w:val="sr-Cyrl-RS"/>
              </w:rPr>
              <w:t xml:space="preserve">Напомена: </w:t>
            </w:r>
          </w:p>
        </w:tc>
      </w:tr>
    </w:tbl>
    <w:p w:rsidR="00401DC2" w:rsidRDefault="00642EB8" w:rsidP="00642EB8">
      <w:pPr>
        <w:spacing w:line="276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</w:p>
    <w:p w:rsidR="00746278" w:rsidRDefault="00746278" w:rsidP="00642EB8">
      <w:pPr>
        <w:spacing w:line="276" w:lineRule="auto"/>
        <w:rPr>
          <w:lang w:val="sr-Cyrl-RS"/>
        </w:rPr>
      </w:pPr>
    </w:p>
    <w:p w:rsidR="00746278" w:rsidRPr="004B6103" w:rsidRDefault="00746278" w:rsidP="00642EB8">
      <w:pPr>
        <w:spacing w:line="276" w:lineRule="auto"/>
        <w:rPr>
          <w:lang w:val="sr-Latn-RS"/>
        </w:rPr>
      </w:pPr>
    </w:p>
    <w:p w:rsidR="00ED72F0" w:rsidRPr="00ED72F0" w:rsidRDefault="00642EB8" w:rsidP="00642EB8">
      <w:pPr>
        <w:spacing w:line="276" w:lineRule="auto"/>
        <w:rPr>
          <w:rFonts w:eastAsiaTheme="minorEastAsia"/>
          <w:noProof/>
          <w:lang w:val="bs-Cyrl-BA" w:eastAsia="sr-Latn-RS"/>
        </w:rPr>
      </w:pPr>
      <w:r>
        <w:rPr>
          <w:lang w:val="sr-Cyrl-RS"/>
        </w:rPr>
        <w:t xml:space="preserve">                                                                              </w:t>
      </w:r>
      <w:r w:rsidR="00516F03">
        <w:rPr>
          <w:lang w:val="sr-Cyrl-RS"/>
        </w:rPr>
        <w:t xml:space="preserve">                             </w:t>
      </w:r>
      <w:r w:rsidR="00ED72F0" w:rsidRPr="00ED72F0">
        <w:rPr>
          <w:rFonts w:eastAsiaTheme="minorEastAsia"/>
          <w:noProof/>
          <w:lang w:val="bs-Cyrl-BA" w:eastAsia="sr-Latn-RS"/>
        </w:rPr>
        <w:t>___________________</w:t>
      </w:r>
      <w:r w:rsidR="00516F03">
        <w:rPr>
          <w:rFonts w:eastAsiaTheme="minorEastAsia"/>
          <w:noProof/>
          <w:lang w:val="bs-Cyrl-BA" w:eastAsia="sr-Latn-RS"/>
        </w:rPr>
        <w:t>___</w:t>
      </w:r>
    </w:p>
    <w:p w:rsidR="00ED72F0" w:rsidRPr="00ED72F0" w:rsidRDefault="001B67FB" w:rsidP="00ED72F0">
      <w:pPr>
        <w:tabs>
          <w:tab w:val="left" w:pos="5964"/>
        </w:tabs>
        <w:spacing w:line="276" w:lineRule="auto"/>
        <w:jc w:val="right"/>
        <w:rPr>
          <w:rFonts w:eastAsiaTheme="minorEastAsia"/>
          <w:lang w:val="bs-Latn-BA" w:eastAsia="sr-Latn-RS"/>
        </w:rPr>
      </w:pPr>
      <w:r>
        <w:rPr>
          <w:rFonts w:eastAsiaTheme="minorEastAsia"/>
          <w:lang w:val="bs-Cyrl-BA" w:eastAsia="sr-Latn-RS"/>
        </w:rPr>
        <w:t xml:space="preserve">Потпис овлаштеног лица </w:t>
      </w:r>
    </w:p>
    <w:sectPr w:rsidR="00ED72F0" w:rsidRPr="00ED72F0" w:rsidSect="00746278">
      <w:pgSz w:w="11906" w:h="16838"/>
      <w:pgMar w:top="1135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1B" w:rsidRDefault="002F141B" w:rsidP="00D22B2F">
      <w:r>
        <w:separator/>
      </w:r>
    </w:p>
  </w:endnote>
  <w:endnote w:type="continuationSeparator" w:id="0">
    <w:p w:rsidR="002F141B" w:rsidRDefault="002F141B" w:rsidP="00D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1B" w:rsidRDefault="002F141B" w:rsidP="00D22B2F">
      <w:r>
        <w:separator/>
      </w:r>
    </w:p>
  </w:footnote>
  <w:footnote w:type="continuationSeparator" w:id="0">
    <w:p w:rsidR="002F141B" w:rsidRDefault="002F141B" w:rsidP="00D2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FB7"/>
    <w:multiLevelType w:val="hybridMultilevel"/>
    <w:tmpl w:val="D5B876F8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23B"/>
    <w:multiLevelType w:val="hybridMultilevel"/>
    <w:tmpl w:val="297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CC4"/>
    <w:multiLevelType w:val="hybridMultilevel"/>
    <w:tmpl w:val="9AB81C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84C22EF"/>
    <w:multiLevelType w:val="hybridMultilevel"/>
    <w:tmpl w:val="A52C050A"/>
    <w:lvl w:ilvl="0" w:tplc="33B40AA6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6295"/>
    <w:multiLevelType w:val="hybridMultilevel"/>
    <w:tmpl w:val="8BBAF592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914"/>
    <w:multiLevelType w:val="hybridMultilevel"/>
    <w:tmpl w:val="827A06BC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272"/>
    <w:multiLevelType w:val="hybridMultilevel"/>
    <w:tmpl w:val="D74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55A0"/>
    <w:multiLevelType w:val="hybridMultilevel"/>
    <w:tmpl w:val="6004F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22"/>
    <w:rsid w:val="00030F7C"/>
    <w:rsid w:val="000472E9"/>
    <w:rsid w:val="00093DDE"/>
    <w:rsid w:val="000A66C8"/>
    <w:rsid w:val="000A7A6A"/>
    <w:rsid w:val="00124FA4"/>
    <w:rsid w:val="00133EF0"/>
    <w:rsid w:val="001377B6"/>
    <w:rsid w:val="00164311"/>
    <w:rsid w:val="0016532E"/>
    <w:rsid w:val="001B67FB"/>
    <w:rsid w:val="001C230E"/>
    <w:rsid w:val="001E2143"/>
    <w:rsid w:val="001E4CA4"/>
    <w:rsid w:val="002F141B"/>
    <w:rsid w:val="003C21EF"/>
    <w:rsid w:val="003C3922"/>
    <w:rsid w:val="00401DC2"/>
    <w:rsid w:val="004173E2"/>
    <w:rsid w:val="004566A5"/>
    <w:rsid w:val="004939D7"/>
    <w:rsid w:val="004941AA"/>
    <w:rsid w:val="004B6103"/>
    <w:rsid w:val="00501C2B"/>
    <w:rsid w:val="00503963"/>
    <w:rsid w:val="00516F03"/>
    <w:rsid w:val="00540B5E"/>
    <w:rsid w:val="00565E99"/>
    <w:rsid w:val="00577F3B"/>
    <w:rsid w:val="00587616"/>
    <w:rsid w:val="005A6574"/>
    <w:rsid w:val="005C3B91"/>
    <w:rsid w:val="005E40FE"/>
    <w:rsid w:val="0062535E"/>
    <w:rsid w:val="00627A40"/>
    <w:rsid w:val="00642EB8"/>
    <w:rsid w:val="006456DE"/>
    <w:rsid w:val="00650720"/>
    <w:rsid w:val="0066239F"/>
    <w:rsid w:val="00685CC6"/>
    <w:rsid w:val="006C6BDA"/>
    <w:rsid w:val="006C709C"/>
    <w:rsid w:val="00746278"/>
    <w:rsid w:val="00746312"/>
    <w:rsid w:val="007A5B9C"/>
    <w:rsid w:val="007D685C"/>
    <w:rsid w:val="00815734"/>
    <w:rsid w:val="00895CCB"/>
    <w:rsid w:val="008F4281"/>
    <w:rsid w:val="0090202C"/>
    <w:rsid w:val="0094420F"/>
    <w:rsid w:val="009A5721"/>
    <w:rsid w:val="009B117E"/>
    <w:rsid w:val="00A13B49"/>
    <w:rsid w:val="00A2349F"/>
    <w:rsid w:val="00A2789D"/>
    <w:rsid w:val="00A36C9E"/>
    <w:rsid w:val="00A62EBA"/>
    <w:rsid w:val="00AB0DBF"/>
    <w:rsid w:val="00B51CF8"/>
    <w:rsid w:val="00B52BDA"/>
    <w:rsid w:val="00B84532"/>
    <w:rsid w:val="00BA561D"/>
    <w:rsid w:val="00BB20ED"/>
    <w:rsid w:val="00BB7019"/>
    <w:rsid w:val="00BC6327"/>
    <w:rsid w:val="00BE796D"/>
    <w:rsid w:val="00BF21F9"/>
    <w:rsid w:val="00C11FB3"/>
    <w:rsid w:val="00C608A3"/>
    <w:rsid w:val="00C85FC6"/>
    <w:rsid w:val="00C97635"/>
    <w:rsid w:val="00D22B2F"/>
    <w:rsid w:val="00D8367D"/>
    <w:rsid w:val="00DD117E"/>
    <w:rsid w:val="00DD5507"/>
    <w:rsid w:val="00DE5171"/>
    <w:rsid w:val="00E018C4"/>
    <w:rsid w:val="00E11081"/>
    <w:rsid w:val="00EA2C7E"/>
    <w:rsid w:val="00ED72F0"/>
    <w:rsid w:val="00ED7F98"/>
    <w:rsid w:val="00EE7687"/>
    <w:rsid w:val="00EF75CE"/>
    <w:rsid w:val="00F20702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9428D2A-8C97-4974-B45E-AF45A42D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3ECF-3C01-45A6-AFDE-F04C4C84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Gordana Milasinovic</cp:lastModifiedBy>
  <cp:revision>2</cp:revision>
  <cp:lastPrinted>2020-12-31T07:48:00Z</cp:lastPrinted>
  <dcterms:created xsi:type="dcterms:W3CDTF">2021-12-30T08:14:00Z</dcterms:created>
  <dcterms:modified xsi:type="dcterms:W3CDTF">2021-12-30T08:14:00Z</dcterms:modified>
</cp:coreProperties>
</file>